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jc w:val="center"/>
        <w:spacing w:line="360" w:lineRule="auto"/>
        <w:rPr>
          <w:rFonts w:ascii="宋体" w:hAnsi="宋体"/>
          <w:b/>
          <w:color w:val="auto"/>
          <w:sz w:val="84"/>
          <w:highlight w:val="none"/>
        </w:rPr>
      </w:pPr>
      <w:r>
        <w:rPr>
          <w:rFonts w:ascii="宋体" w:hAnsi="宋体"/>
          <w:b/>
          <w:color w:val="auto"/>
          <w:sz w:val="84"/>
          <w:highlight w:val="none"/>
        </w:rPr>
      </w:r>
      <w:r/>
    </w:p>
    <w:p>
      <w:pPr>
        <w:jc w:val="center"/>
        <w:spacing w:line="360" w:lineRule="auto"/>
        <w:rPr>
          <w:rFonts w:ascii="宋体" w:hAnsi="宋体"/>
          <w:b/>
          <w:color w:val="auto"/>
          <w:sz w:val="84"/>
          <w:highlight w:val="none"/>
        </w:rPr>
      </w:pPr>
      <w:r>
        <w:rPr>
          <w:rFonts w:hint="eastAsia" w:ascii="宋体" w:hAnsi="宋体"/>
          <w:b/>
          <w:color w:val="auto"/>
          <w:sz w:val="84"/>
          <w:highlight w:val="none"/>
        </w:rPr>
        <w:t xml:space="preserve">磋   商   文   件</w:t>
      </w:r>
      <w:r/>
    </w:p>
    <w:p>
      <w:pPr>
        <w:jc w:val="center"/>
        <w:spacing w:line="360" w:lineRule="auto"/>
        <w:rPr>
          <w:rFonts w:ascii="楷体" w:hAnsi="楷体" w:eastAsia="楷体"/>
          <w:color w:val="auto"/>
          <w:sz w:val="44"/>
          <w:szCs w:val="44"/>
          <w:highlight w:val="none"/>
        </w:rPr>
      </w:pPr>
      <w:r>
        <w:rPr>
          <w:rFonts w:ascii="楷体" w:hAnsi="楷体" w:eastAsia="楷体"/>
          <w:color w:val="auto"/>
          <w:sz w:val="44"/>
          <w:szCs w:val="44"/>
          <w:highlight w:val="none"/>
        </w:rPr>
      </w:r>
      <w:r/>
    </w:p>
    <w:p>
      <w:pPr>
        <w:jc w:val="center"/>
        <w:spacing w:line="360" w:lineRule="auto"/>
        <w:rPr>
          <w:rFonts w:ascii="楷体" w:hAnsi="楷体" w:eastAsia="楷体"/>
          <w:color w:val="auto"/>
          <w:sz w:val="44"/>
          <w:szCs w:val="44"/>
          <w:highlight w:val="none"/>
        </w:rPr>
      </w:pPr>
      <w:r>
        <w:rPr>
          <w:rFonts w:hint="eastAsia" w:ascii="楷体" w:hAnsi="楷体" w:eastAsia="楷体"/>
          <w:color w:val="auto"/>
          <w:sz w:val="44"/>
          <w:szCs w:val="44"/>
          <w:highlight w:val="none"/>
        </w:rPr>
        <w:t xml:space="preserve">（电子招投标）</w:t>
      </w:r>
      <w:r/>
    </w:p>
    <w:p>
      <w:pPr>
        <w:jc w:val="center"/>
        <w:spacing w:line="360" w:lineRule="auto"/>
        <w:rPr>
          <w:rFonts w:ascii="宋体" w:hAnsi="宋体"/>
          <w:color w:val="auto"/>
          <w:sz w:val="32"/>
          <w:highlight w:val="none"/>
        </w:rPr>
      </w:pPr>
      <w:r>
        <w:rPr>
          <w:rFonts w:hint="eastAsia" w:ascii="宋体" w:hAnsi="宋体"/>
          <w:color w:val="auto"/>
          <w:sz w:val="32"/>
          <w:highlight w:val="none"/>
        </w:rPr>
        <w:t xml:space="preserve">（服务类项目，专门面向中小微企业）</w:t>
      </w:r>
      <w:r/>
    </w:p>
    <w:p>
      <w:pP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hint="eastAsia" w:ascii="宋体" w:hAnsi="宋体" w:eastAsia="宋体"/>
          <w:b/>
          <w:color w:val="auto"/>
          <w:sz w:val="36"/>
          <w:highlight w:val="none"/>
          <w:lang w:eastAsia="zh-CN"/>
        </w:rPr>
      </w:pPr>
      <w:r>
        <w:rPr>
          <w:rFonts w:hint="eastAsia" w:ascii="宋体" w:hAnsi="宋体"/>
          <w:b/>
          <w:color w:val="auto"/>
          <w:sz w:val="36"/>
          <w:highlight w:val="none"/>
        </w:rPr>
        <w:t xml:space="preserve">项目编号：</w:t>
      </w:r>
      <w:r>
        <w:rPr>
          <w:rFonts w:hint="eastAsia" w:ascii="宋体" w:hAnsi="宋体"/>
          <w:b/>
          <w:color w:val="auto"/>
          <w:sz w:val="36"/>
          <w:highlight w:val="none"/>
          <w:lang w:eastAsia="zh-CN"/>
        </w:rPr>
        <w:t xml:space="preserve">JSZC-321181-JZCG-C2026-0009</w:t>
      </w:r>
      <w:r/>
    </w:p>
    <w:p>
      <w:pPr>
        <w:jc w:val="cente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ascii="宋体" w:hAnsi="宋体"/>
          <w:color w:val="auto"/>
          <w:sz w:val="32"/>
          <w:highlight w:val="none"/>
        </w:rPr>
      </w:pPr>
      <w:r>
        <w:rPr>
          <w:rFonts w:ascii="宋体" w:hAnsi="宋体"/>
          <w:color w:val="auto"/>
          <w:sz w:val="32"/>
          <w:highlight w:val="none"/>
        </w:rPr>
      </w:r>
      <w:r/>
    </w:p>
    <w:p>
      <w:pPr>
        <w:ind w:right="8"/>
        <w:jc w:val="center"/>
        <w:spacing w:line="360" w:lineRule="auto"/>
        <w:rPr>
          <w:rFonts w:hint="eastAsia" w:ascii="宋体" w:hAnsi="宋体" w:eastAsia="宋体"/>
          <w:b/>
          <w:color w:val="auto"/>
          <w:sz w:val="36"/>
          <w:highlight w:val="none"/>
          <w:lang w:eastAsia="zh-CN"/>
        </w:rPr>
      </w:pPr>
      <w:r>
        <w:rPr>
          <w:rFonts w:hint="eastAsia" w:ascii="宋体" w:hAnsi="宋体"/>
          <w:b/>
          <w:color w:val="auto"/>
          <w:sz w:val="36"/>
          <w:highlight w:val="none"/>
        </w:rPr>
        <w:t xml:space="preserve">项目名称：</w:t>
      </w:r>
      <w:r>
        <w:rPr>
          <w:rFonts w:hint="eastAsia" w:ascii="宋体" w:hAnsi="宋体"/>
          <w:b/>
          <w:color w:val="auto"/>
          <w:sz w:val="36"/>
          <w:highlight w:val="none"/>
          <w:lang w:eastAsia="zh-CN"/>
        </w:rPr>
        <w:t xml:space="preserve">“金保工程”网络与网络安全维保服务项目</w:t>
      </w:r>
      <w:r/>
    </w:p>
    <w:p>
      <w:pPr>
        <w:ind w:left="630" w:right="630"/>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hint="eastAsia" w:ascii="宋体" w:hAnsi="宋体"/>
          <w:b/>
          <w:color w:val="auto"/>
          <w:sz w:val="36"/>
          <w:highlight w:val="none"/>
        </w:rPr>
        <w:t xml:space="preserve">丹阳市政府采购中心</w:t>
      </w:r>
      <w:r/>
    </w:p>
    <w:p>
      <w:pPr>
        <w:jc w:val="center"/>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202</w:t>
      </w:r>
      <w:r>
        <w:rPr>
          <w:rFonts w:hint="eastAsia" w:ascii="宋体" w:hAnsi="宋体"/>
          <w:b/>
          <w:color w:val="auto"/>
          <w:sz w:val="36"/>
          <w:szCs w:val="36"/>
          <w:highlight w:val="none"/>
          <w:lang w:val="en-US" w:eastAsia="zh-CN"/>
        </w:rPr>
        <w:t xml:space="preserve">6</w:t>
      </w:r>
      <w:r>
        <w:rPr>
          <w:rFonts w:hint="eastAsia" w:ascii="宋体" w:hAnsi="宋体"/>
          <w:b/>
          <w:color w:val="auto"/>
          <w:sz w:val="36"/>
          <w:szCs w:val="36"/>
          <w:highlight w:val="none"/>
        </w:rPr>
        <w:t xml:space="preserve">年</w:t>
      </w:r>
      <w:r>
        <w:rPr>
          <w:rFonts w:hint="eastAsia" w:ascii="宋体" w:hAnsi="宋体"/>
          <w:b/>
          <w:color w:val="auto"/>
          <w:sz w:val="36"/>
          <w:szCs w:val="36"/>
          <w:highlight w:val="none"/>
          <w:lang w:val="en-US" w:eastAsia="zh-CN"/>
        </w:rPr>
        <w:t xml:space="preserve">05</w:t>
      </w:r>
      <w:r>
        <w:rPr>
          <w:rFonts w:hint="eastAsia" w:ascii="宋体" w:hAnsi="宋体"/>
          <w:b/>
          <w:color w:val="auto"/>
          <w:sz w:val="36"/>
          <w:szCs w:val="36"/>
          <w:highlight w:val="none"/>
        </w:rPr>
        <w:t xml:space="preserve">月</w:t>
      </w:r>
      <w:r>
        <w:rPr>
          <w:rFonts w:hint="eastAsia" w:ascii="宋体" w:hAnsi="宋体"/>
          <w:b/>
          <w:color w:val="auto"/>
          <w:sz w:val="36"/>
          <w:szCs w:val="36"/>
          <w:highlight w:val="none"/>
          <w:lang w:val="en-US" w:eastAsia="zh-CN"/>
        </w:rPr>
        <w:t xml:space="preserve">18</w:t>
      </w:r>
      <w:r>
        <w:rPr>
          <w:rFonts w:hint="eastAsia" w:ascii="宋体" w:hAnsi="宋体"/>
          <w:b/>
          <w:color w:val="auto"/>
          <w:sz w:val="36"/>
          <w:szCs w:val="36"/>
          <w:highlight w:val="none"/>
        </w:rPr>
        <w:t xml:space="preserve">日</w:t>
      </w:r>
      <w:r/>
    </w:p>
    <w:p>
      <w:pPr>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ind w:firstLine="4176"/>
        <w:spacing w:line="50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176"/>
        <w:spacing w:line="50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提 示 函</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各政府采购供应商：</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为打造公开公平公正的政府采购营商环境，规范政府采购活动，请贵单位仔细阅读下列条款：</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一、基本要求：</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1.应当遵循公开、公平、公正和诚实信用原则；</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2.不得有串通投标、提供虚假材料等违法违规行为；</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3.不得捏造事实、提供虚假材料或者以非法手段取得证明材料进行投诉。</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二、经查实有下列行为的，将依法依规严肃处理:</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(1)提供虚假材料谋取中标、成交的;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(2)采取不正当手段诋毁、排挤其他供应商的;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(3)与采购人、其他供应商或者采购代理机构恶意串通的;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(4)向采购人、采购代理机构行贿或者提供其他不正当利益的;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(5)在磋商采购过程中与采购人进行协商谈判的;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(6)拒绝有关部门监督检查或者提供虚假情况的。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2．在“信用中国”网、中国政府采购网等相关网站有失信记录按规定被依法限制参与政府采购活动的，在规定期限内不得参加本市范围内的政府采购活动。</w:t>
      </w:r>
      <w:r/>
    </w:p>
    <w:p>
      <w:pPr>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rPr>
          <w:color w:val="auto"/>
          <w:highlight w:val="none"/>
        </w:rPr>
      </w:pPr>
      <w:r>
        <w:rPr>
          <w:color w:val="auto"/>
          <w:highlight w:val="none"/>
        </w:rPr>
      </w:r>
      <w:r/>
    </w:p>
    <w:p>
      <w:pPr>
        <w:jc w:val="center"/>
        <w:pageBreakBefore/>
        <w:spacing w:line="360" w:lineRule="auto"/>
        <w:rPr>
          <w:rFonts w:ascii="宋体" w:hAnsi="宋体"/>
          <w:b/>
          <w:bCs/>
          <w:color w:val="auto"/>
          <w:sz w:val="36"/>
          <w:szCs w:val="36"/>
          <w:highlight w:val="none"/>
        </w:rPr>
      </w:pPr>
      <w:r>
        <w:rPr>
          <w:rFonts w:hint="eastAsia" w:ascii="宋体" w:hAnsi="宋体"/>
          <w:b/>
          <w:bCs/>
          <w:color w:val="auto"/>
          <w:sz w:val="36"/>
          <w:szCs w:val="36"/>
          <w:highlight w:val="none"/>
        </w:rPr>
        <w:t xml:space="preserve"> 磋商文件目录</w:t>
      </w:r>
      <w:r/>
    </w:p>
    <w:p>
      <w:pPr>
        <w:pStyle w:val="677"/>
        <w:tabs>
          <w:tab w:val="right" w:pos="9356" w:leader="dot"/>
        </w:tabs>
        <w:rPr>
          <w:color w:val="auto"/>
          <w:highlight w:val="none"/>
        </w:rPr>
      </w:pPr>
      <w:r>
        <w:rPr>
          <w:color w:val="auto"/>
          <w:highlight w:val="none"/>
        </w:rPr>
      </w:r>
      <w:r/>
    </w:p>
    <w:p>
      <w:pPr>
        <w:pStyle w:val="677"/>
        <w:tabs>
          <w:tab w:val="right" w:pos="9356" w:leader="dot"/>
        </w:tabs>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cs="楷体"/>
          <w:b/>
          <w:color w:val="auto"/>
          <w:sz w:val="30"/>
          <w:highlight w:val="none"/>
        </w:rPr>
      </w:pPr>
      <w:r>
        <w:rPr>
          <w:rFonts w:hint="eastAsia" w:ascii="宋体" w:hAnsi="宋体" w:cs="楷体"/>
          <w:b/>
          <w:color w:val="auto"/>
          <w:sz w:val="30"/>
          <w:highlight w:val="none"/>
        </w:rPr>
        <w:t xml:space="preserve">第一部分    磋商邀请                            </w:t>
      </w:r>
      <w:r/>
    </w:p>
    <w:p>
      <w:pPr>
        <w:spacing w:line="360" w:lineRule="auto"/>
        <w:rPr>
          <w:rFonts w:ascii="宋体" w:hAnsi="宋体" w:cs="楷体"/>
          <w:b/>
          <w:color w:val="auto"/>
          <w:sz w:val="30"/>
          <w:highlight w:val="none"/>
        </w:rPr>
      </w:pPr>
      <w:r>
        <w:rPr>
          <w:rFonts w:hint="eastAsia" w:ascii="宋体" w:hAnsi="宋体" w:cs="楷体"/>
          <w:b/>
          <w:color w:val="auto"/>
          <w:sz w:val="30"/>
          <w:highlight w:val="none"/>
        </w:rPr>
        <w:t xml:space="preserve">第二部分    供应商须知                           </w:t>
      </w:r>
      <w:r/>
    </w:p>
    <w:p>
      <w:pPr>
        <w:spacing w:line="360" w:lineRule="auto"/>
        <w:rPr>
          <w:rFonts w:ascii="宋体" w:hAnsi="宋体" w:cs="楷体"/>
          <w:b/>
          <w:color w:val="auto"/>
          <w:sz w:val="30"/>
          <w:highlight w:val="none"/>
        </w:rPr>
      </w:pPr>
      <w:r>
        <w:rPr>
          <w:rFonts w:hint="eastAsia" w:ascii="宋体" w:hAnsi="宋体" w:cs="楷体"/>
          <w:b/>
          <w:color w:val="auto"/>
          <w:sz w:val="30"/>
          <w:highlight w:val="none"/>
        </w:rPr>
        <w:t xml:space="preserve">第三部分    合同主要条款                    </w:t>
      </w:r>
      <w:r/>
    </w:p>
    <w:p>
      <w:pPr>
        <w:spacing w:line="360" w:lineRule="auto"/>
        <w:rPr>
          <w:rFonts w:ascii="宋体" w:hAnsi="宋体" w:cs="楷体"/>
          <w:b/>
          <w:color w:val="auto"/>
          <w:sz w:val="30"/>
          <w:highlight w:val="none"/>
        </w:rPr>
      </w:pPr>
      <w:r>
        <w:rPr>
          <w:rFonts w:hint="eastAsia" w:ascii="宋体" w:hAnsi="宋体" w:cs="楷体"/>
          <w:b/>
          <w:color w:val="auto"/>
          <w:sz w:val="30"/>
          <w:highlight w:val="none"/>
        </w:rPr>
        <w:t xml:space="preserve">第四部分    采购需求                           </w:t>
      </w:r>
      <w:r/>
    </w:p>
    <w:p>
      <w:pPr>
        <w:spacing w:line="360" w:lineRule="auto"/>
        <w:rPr>
          <w:rFonts w:ascii="宋体" w:hAnsi="宋体" w:cs="楷体"/>
          <w:b/>
          <w:color w:val="auto"/>
          <w:sz w:val="30"/>
          <w:highlight w:val="none"/>
        </w:rPr>
      </w:pPr>
      <w:r>
        <w:rPr>
          <w:rFonts w:hint="eastAsia" w:ascii="宋体" w:hAnsi="宋体" w:cs="楷体"/>
          <w:b/>
          <w:color w:val="auto"/>
          <w:sz w:val="30"/>
          <w:highlight w:val="none"/>
        </w:rPr>
        <w:t xml:space="preserve">第五部分    磋商及评审                      </w:t>
      </w:r>
      <w:r/>
    </w:p>
    <w:p>
      <w:pPr>
        <w:jc w:val="left"/>
        <w:spacing w:line="360" w:lineRule="auto"/>
        <w:rPr>
          <w:rFonts w:ascii="宋体" w:hAnsi="宋体" w:cs="楷体"/>
          <w:b/>
          <w:color w:val="auto"/>
          <w:sz w:val="30"/>
          <w:highlight w:val="none"/>
        </w:rPr>
      </w:pPr>
      <w:r>
        <w:rPr>
          <w:rFonts w:hint="eastAsia" w:ascii="宋体" w:hAnsi="宋体" w:cs="楷体"/>
          <w:b/>
          <w:color w:val="auto"/>
          <w:sz w:val="30"/>
          <w:highlight w:val="none"/>
        </w:rPr>
        <w:t xml:space="preserve">第六部分    磋商响应文件（格式）                    </w:t>
      </w:r>
      <w:r/>
    </w:p>
    <w:p>
      <w:pPr>
        <w:rPr>
          <w:color w:val="auto"/>
          <w:highlight w:val="none"/>
        </w:rPr>
      </w:pPr>
      <w:r>
        <w:rPr>
          <w:color w:val="auto"/>
          <w:highlight w:val="none"/>
        </w:rPr>
      </w:r>
      <w:r/>
    </w:p>
    <w:p>
      <w:pPr>
        <w:pStyle w:val="677"/>
        <w:tabs>
          <w:tab w:val="right" w:pos="9356" w:leader="dot"/>
        </w:tabs>
        <w:rPr>
          <w:color w:val="auto"/>
          <w:highlight w:val="none"/>
        </w:rPr>
      </w:pPr>
      <w:r>
        <w:rPr>
          <w:color w:val="auto"/>
          <w:highlight w:val="none"/>
        </w:rPr>
      </w:r>
      <w:r/>
    </w:p>
    <w:p>
      <w:pPr>
        <w:rPr>
          <w:color w:val="auto"/>
          <w:highlight w:val="none"/>
        </w:rPr>
      </w:pPr>
      <w:r>
        <w:rPr>
          <w:color w:val="auto"/>
          <w:highlight w:val="none"/>
        </w:rPr>
        <w:br w:type="page" w:clear="all"/>
      </w:r>
      <w:r/>
    </w:p>
    <w:p>
      <w:pPr>
        <w:pStyle w:val="842"/>
        <w:jc w:val="center"/>
        <w:spacing w:before="0" w:after="0" w:line="240" w:lineRule="auto"/>
        <w:rPr>
          <w:rFonts w:ascii="宋体" w:hAnsi="宋体"/>
          <w:color w:val="auto"/>
          <w:sz w:val="36"/>
          <w:highlight w:val="none"/>
        </w:rPr>
      </w:pPr>
      <w:r/>
      <w:bookmarkStart w:id="0" w:name="_Toc1"/>
      <w:r>
        <w:rPr>
          <w:rFonts w:hint="eastAsia" w:ascii="宋体" w:hAnsi="宋体"/>
          <w:color w:val="auto"/>
          <w:sz w:val="36"/>
          <w:highlight w:val="none"/>
        </w:rPr>
        <w:t xml:space="preserve">第一部分  磋商邀请</w:t>
      </w:r>
      <w:bookmarkEnd w:id="0"/>
      <w:r/>
      <w:r/>
    </w:p>
    <w:p>
      <w:pPr>
        <w:rPr>
          <w:color w:val="auto"/>
          <w:highlight w:val="none"/>
        </w:rPr>
      </w:pPr>
      <w:r>
        <w:rPr>
          <w:color w:val="auto"/>
          <w:highlight w:val="none"/>
        </w:rPr>
      </w:r>
      <w:r/>
    </w:p>
    <w:p>
      <w:pPr>
        <w:ind w:firstLine="480"/>
        <w:spacing w:line="360" w:lineRule="auto"/>
        <w:rPr>
          <w:rFonts w:ascii="宋体" w:hAnsi="宋体"/>
          <w:color w:val="auto"/>
          <w:sz w:val="22"/>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2"/>
          <w:highlight w:val="none"/>
        </w:rPr>
        <w:t xml:space="preserve">项目概况</w:t>
      </w:r>
      <w:r/>
    </w:p>
    <w:p>
      <w:pPr>
        <w:ind w:firstLine="480"/>
        <w:spacing w:line="360" w:lineRule="auto"/>
        <w:rPr>
          <w:rFonts w:ascii="宋体" w:hAnsi="宋体"/>
          <w:color w:val="auto"/>
          <w:sz w:val="22"/>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olor w:val="auto"/>
          <w:sz w:val="22"/>
          <w:highlight w:val="none"/>
          <w:u w:val="single"/>
          <w:lang w:eastAsia="zh-CN"/>
        </w:rPr>
        <w:t xml:space="preserve">“金保工程”网络与网络安全维保服务项目</w:t>
      </w:r>
      <w:r>
        <w:rPr>
          <w:rFonts w:hint="eastAsia" w:ascii="宋体" w:hAnsi="宋体"/>
          <w:color w:val="auto"/>
          <w:sz w:val="22"/>
          <w:highlight w:val="none"/>
        </w:rPr>
        <w:t xml:space="preserve">的潜在供应商应在苏采云电子交易平台网址</w:t>
      </w:r>
      <w:r>
        <w:rPr>
          <w:rFonts w:hint="eastAsia" w:ascii="宋体" w:hAnsi="宋体"/>
          <w:color w:val="auto"/>
          <w:sz w:val="22"/>
          <w:highlight w:val="none"/>
          <w:u w:val="single"/>
        </w:rPr>
        <w:t xml:space="preserve">http://jszfcg.jscz.gov.cn/</w:t>
      </w:r>
      <w:r>
        <w:rPr>
          <w:rFonts w:hint="eastAsia" w:ascii="宋体" w:hAnsi="宋体"/>
          <w:color w:val="auto"/>
          <w:sz w:val="22"/>
          <w:highlight w:val="none"/>
        </w:rPr>
        <w:t xml:space="preserve">获取磋商文件，并于202</w:t>
      </w:r>
      <w:r>
        <w:rPr>
          <w:rFonts w:hint="eastAsia" w:ascii="宋体" w:hAnsi="宋体"/>
          <w:color w:val="auto"/>
          <w:sz w:val="22"/>
          <w:highlight w:val="none"/>
          <w:lang w:val="en-US" w:eastAsia="zh-CN"/>
        </w:rPr>
        <w:t xml:space="preserve">6</w:t>
      </w:r>
      <w:r>
        <w:rPr>
          <w:rFonts w:hint="eastAsia" w:ascii="宋体" w:hAnsi="宋体"/>
          <w:color w:val="auto"/>
          <w:sz w:val="22"/>
          <w:highlight w:val="none"/>
        </w:rPr>
        <w:t xml:space="preserve">年</w:t>
      </w:r>
      <w:r>
        <w:rPr>
          <w:rFonts w:hint="eastAsia" w:ascii="宋体" w:hAnsi="宋体"/>
          <w:color w:val="auto"/>
          <w:sz w:val="22"/>
          <w:highlight w:val="none"/>
          <w:lang w:val="en-US" w:eastAsia="zh-CN"/>
        </w:rPr>
        <w:t xml:space="preserve">05</w:t>
      </w:r>
      <w:r>
        <w:rPr>
          <w:rFonts w:hint="eastAsia" w:ascii="宋体" w:hAnsi="宋体"/>
          <w:color w:val="auto"/>
          <w:sz w:val="22"/>
          <w:highlight w:val="none"/>
        </w:rPr>
        <w:t xml:space="preserve">月</w:t>
      </w:r>
      <w:r>
        <w:rPr>
          <w:rFonts w:hint="eastAsia" w:ascii="宋体" w:hAnsi="宋体"/>
          <w:color w:val="auto"/>
          <w:sz w:val="22"/>
          <w:highlight w:val="none"/>
          <w:lang w:val="en-US" w:eastAsia="zh-CN"/>
        </w:rPr>
        <w:t xml:space="preserve">28</w:t>
      </w:r>
      <w:r>
        <w:rPr>
          <w:rFonts w:hint="eastAsia" w:ascii="宋体" w:hAnsi="宋体"/>
          <w:color w:val="auto"/>
          <w:sz w:val="22"/>
          <w:highlight w:val="none"/>
        </w:rPr>
        <w:t xml:space="preserve">日9点30分（</w:t>
      </w:r>
      <w:r>
        <w:rPr>
          <w:rFonts w:hint="eastAsia" w:ascii="宋体" w:hAnsi="宋体"/>
          <w:bCs/>
          <w:color w:val="auto"/>
          <w:sz w:val="22"/>
          <w:highlight w:val="none"/>
        </w:rPr>
        <w:t xml:space="preserve">北京时间）前递交响应文件</w:t>
      </w:r>
      <w:r>
        <w:rPr>
          <w:rFonts w:hint="eastAsia" w:ascii="宋体" w:hAnsi="宋体"/>
          <w:color w:val="auto"/>
          <w:sz w:val="22"/>
          <w:highlight w:val="none"/>
        </w:rPr>
        <w:t xml:space="preserve">。</w:t>
      </w:r>
      <w:r/>
    </w:p>
    <w:p>
      <w:pPr>
        <w:pStyle w:val="843"/>
        <w:jc w:val="left"/>
        <w:spacing w:before="200" w:after="200" w:line="360" w:lineRule="auto"/>
        <w:rPr>
          <w:rFonts w:ascii="宋体" w:hAnsi="宋体" w:eastAsia="宋体"/>
          <w:b w:val="0"/>
          <w:color w:val="auto"/>
          <w:sz w:val="22"/>
          <w:szCs w:val="22"/>
          <w:highlight w:val="none"/>
        </w:rPr>
      </w:pPr>
      <w:r/>
      <w:bookmarkStart w:id="1" w:name="_Toc2"/>
      <w:r>
        <w:rPr>
          <w:rFonts w:hint="eastAsia" w:ascii="宋体" w:hAnsi="宋体" w:eastAsia="宋体"/>
          <w:b w:val="0"/>
          <w:color w:val="auto"/>
          <w:sz w:val="22"/>
          <w:szCs w:val="22"/>
          <w:highlight w:val="none"/>
        </w:rPr>
        <w:t xml:space="preserve">一、项目基本情况</w:t>
      </w:r>
      <w:bookmarkEnd w:id="1"/>
      <w:r/>
      <w:r/>
    </w:p>
    <w:p>
      <w:pPr>
        <w:ind w:firstLine="480"/>
        <w:spacing w:line="360" w:lineRule="auto"/>
        <w:rPr>
          <w:rFonts w:hint="eastAsia" w:ascii="宋体" w:hAnsi="宋体" w:eastAsia="宋体"/>
          <w:color w:val="auto"/>
          <w:sz w:val="22"/>
          <w:highlight w:val="none"/>
          <w:lang w:eastAsia="zh-CN"/>
        </w:rPr>
      </w:pPr>
      <w:r>
        <w:rPr>
          <w:rFonts w:hint="eastAsia" w:ascii="宋体" w:hAnsi="宋体"/>
          <w:color w:val="auto"/>
          <w:sz w:val="22"/>
          <w:highlight w:val="none"/>
        </w:rPr>
        <w:t xml:space="preserve">项目编号：</w:t>
      </w:r>
      <w:r>
        <w:rPr>
          <w:rFonts w:hint="eastAsia" w:ascii="宋体" w:hAnsi="宋体"/>
          <w:color w:val="auto"/>
          <w:sz w:val="22"/>
          <w:highlight w:val="none"/>
          <w:lang w:eastAsia="zh-CN"/>
        </w:rPr>
        <w:t xml:space="preserve">JSZC-321181-JZCG-C2026-0009</w:t>
      </w:r>
      <w:r/>
    </w:p>
    <w:p>
      <w:pPr>
        <w:ind w:firstLine="480"/>
        <w:spacing w:line="360" w:lineRule="auto"/>
        <w:rPr>
          <w:rFonts w:hint="eastAsia" w:ascii="宋体" w:hAnsi="宋体" w:eastAsia="宋体"/>
          <w:color w:val="auto"/>
          <w:sz w:val="22"/>
          <w:highlight w:val="none"/>
          <w:lang w:eastAsia="zh-CN"/>
        </w:rPr>
      </w:pPr>
      <w:r>
        <w:rPr>
          <w:rFonts w:hint="eastAsia" w:ascii="宋体" w:hAnsi="宋体"/>
          <w:color w:val="auto"/>
          <w:sz w:val="22"/>
          <w:highlight w:val="none"/>
        </w:rPr>
        <w:t xml:space="preserve">项目名称：</w:t>
      </w:r>
      <w:r>
        <w:rPr>
          <w:rFonts w:hint="eastAsia" w:ascii="宋体" w:hAnsi="宋体"/>
          <w:color w:val="auto"/>
          <w:sz w:val="22"/>
          <w:highlight w:val="none"/>
          <w:lang w:eastAsia="zh-CN"/>
        </w:rPr>
        <w:t xml:space="preserve">“金保工程”网络与网络安全维保服务项目</w:t>
      </w:r>
      <w:r/>
    </w:p>
    <w:p>
      <w:pPr>
        <w:ind w:firstLine="480"/>
        <w:spacing w:line="360" w:lineRule="auto"/>
        <w:rPr>
          <w:rFonts w:hint="eastAsia" w:ascii="宋体" w:hAnsi="宋体" w:eastAsia="宋体"/>
          <w:color w:val="auto"/>
          <w:sz w:val="22"/>
          <w:highlight w:val="none"/>
          <w:lang w:eastAsia="zh-CN"/>
        </w:rPr>
      </w:pPr>
      <w:r>
        <w:rPr>
          <w:rFonts w:hint="eastAsia" w:ascii="宋体" w:hAnsi="宋体"/>
          <w:color w:val="auto"/>
          <w:sz w:val="22"/>
          <w:highlight w:val="none"/>
        </w:rPr>
        <w:t xml:space="preserve">预算金额：</w:t>
      </w:r>
      <w:r>
        <w:rPr>
          <w:rFonts w:hint="eastAsia" w:ascii="宋体" w:hAnsi="宋体"/>
          <w:color w:val="auto"/>
          <w:sz w:val="22"/>
          <w:highlight w:val="none"/>
          <w:lang w:eastAsia="zh-CN"/>
        </w:rPr>
        <w:t xml:space="preserve">202.5万元</w:t>
      </w:r>
      <w:r/>
    </w:p>
    <w:p>
      <w:pPr>
        <w:ind w:firstLine="480"/>
        <w:spacing w:line="360" w:lineRule="auto"/>
        <w:rPr>
          <w:rFonts w:hint="eastAsia" w:ascii="宋体" w:hAnsi="宋体" w:eastAsia="宋体"/>
          <w:color w:val="auto"/>
          <w:sz w:val="22"/>
          <w:highlight w:val="none"/>
          <w:lang w:eastAsia="zh-CN"/>
        </w:rPr>
      </w:pPr>
      <w:r>
        <w:rPr>
          <w:rFonts w:hint="eastAsia" w:ascii="宋体" w:hAnsi="宋体"/>
          <w:color w:val="auto"/>
          <w:sz w:val="22"/>
          <w:highlight w:val="none"/>
        </w:rPr>
        <w:t xml:space="preserve">最高限价：</w:t>
      </w:r>
      <w:r>
        <w:rPr>
          <w:rFonts w:hint="eastAsia" w:ascii="宋体" w:hAnsi="宋体"/>
          <w:color w:val="auto"/>
          <w:sz w:val="22"/>
          <w:highlight w:val="none"/>
          <w:lang w:eastAsia="zh-CN"/>
        </w:rPr>
        <w:t xml:space="preserve">163.5万元</w:t>
      </w:r>
      <w:r/>
    </w:p>
    <w:p>
      <w:pPr>
        <w:ind w:firstLine="480"/>
        <w:spacing w:line="360" w:lineRule="auto"/>
        <w:rPr>
          <w:rFonts w:ascii="宋体" w:hAnsi="宋体"/>
          <w:color w:val="auto"/>
          <w:sz w:val="22"/>
          <w:highlight w:val="none"/>
        </w:rPr>
      </w:pPr>
      <w:r>
        <w:rPr>
          <w:rFonts w:hint="eastAsia" w:ascii="宋体" w:hAnsi="宋体"/>
          <w:color w:val="auto"/>
          <w:sz w:val="22"/>
          <w:highlight w:val="none"/>
        </w:rPr>
        <w:t xml:space="preserve">采购需求：</w:t>
      </w:r>
      <w:bookmarkStart w:id="2" w:name="EB5d98601673ee4dabb6909c42181f9c92"/>
      <w:r>
        <w:rPr>
          <w:rFonts w:hint="eastAsia" w:ascii="宋体" w:hAnsi="宋体"/>
          <w:color w:val="auto"/>
          <w:sz w:val="22"/>
          <w:highlight w:val="none"/>
        </w:rPr>
        <w:t xml:space="preserve">详细内容及要求见第四部分采购需求。</w:t>
      </w:r>
      <w:bookmarkEnd w:id="2"/>
      <w:r/>
      <w:r/>
    </w:p>
    <w:p>
      <w:pPr>
        <w:ind w:firstLine="480"/>
        <w:spacing w:line="360" w:lineRule="auto"/>
        <w:rPr>
          <w:rFonts w:ascii="宋体" w:hAnsi="宋体"/>
          <w:color w:val="auto"/>
          <w:sz w:val="22"/>
          <w:highlight w:val="none"/>
        </w:rPr>
      </w:pPr>
      <w:r>
        <w:rPr>
          <w:rFonts w:hint="eastAsia" w:ascii="宋体" w:hAnsi="宋体"/>
          <w:color w:val="auto"/>
          <w:sz w:val="22"/>
          <w:highlight w:val="none"/>
          <w:lang w:eastAsia="zh-CN"/>
        </w:rPr>
        <w:t xml:space="preserve">服务</w:t>
      </w:r>
      <w:r>
        <w:rPr>
          <w:rFonts w:hint="eastAsia" w:ascii="宋体" w:hAnsi="宋体"/>
          <w:color w:val="auto"/>
          <w:sz w:val="22"/>
          <w:highlight w:val="none"/>
        </w:rPr>
        <w:t xml:space="preserve">期</w:t>
      </w:r>
      <w:r>
        <w:rPr>
          <w:rFonts w:hint="eastAsia" w:ascii="宋体" w:hAnsi="宋体"/>
          <w:color w:val="auto"/>
          <w:sz w:val="22"/>
          <w:highlight w:val="none"/>
          <w:lang w:eastAsia="zh-CN"/>
        </w:rPr>
        <w:t xml:space="preserve">：自合同签订之日起3年</w:t>
      </w:r>
      <w:r>
        <w:rPr>
          <w:rFonts w:hint="eastAsia" w:ascii="宋体" w:hAnsi="宋体"/>
          <w:color w:val="auto"/>
          <w:sz w:val="22"/>
          <w:highlight w:val="none"/>
        </w:rPr>
        <w:t xml:space="preserve">。</w:t>
      </w:r>
      <w:r/>
    </w:p>
    <w:p>
      <w:pPr>
        <w:ind w:firstLine="480"/>
        <w:spacing w:line="360" w:lineRule="auto"/>
        <w:rPr>
          <w:color w:val="auto"/>
          <w:sz w:val="22"/>
          <w:highlight w:val="none"/>
        </w:rPr>
      </w:pPr>
      <w:r>
        <w:rPr>
          <w:rFonts w:hint="eastAsia" w:ascii="宋体" w:hAnsi="宋体"/>
          <w:color w:val="auto"/>
          <w:sz w:val="22"/>
          <w:highlight w:val="none"/>
        </w:rPr>
        <w:t xml:space="preserve">本项目是否接受联合体：不接受</w:t>
      </w:r>
      <w:r/>
    </w:p>
    <w:p>
      <w:pPr>
        <w:ind w:firstLine="480"/>
        <w:spacing w:line="360" w:lineRule="auto"/>
        <w:rPr>
          <w:rFonts w:ascii="宋体" w:hAnsi="宋体"/>
          <w:color w:val="auto"/>
          <w:sz w:val="22"/>
          <w:highlight w:val="none"/>
        </w:rPr>
      </w:pPr>
      <w:r>
        <w:rPr>
          <w:rFonts w:hint="eastAsia" w:ascii="宋体" w:hAnsi="宋体"/>
          <w:color w:val="auto"/>
          <w:sz w:val="22"/>
          <w:highlight w:val="none"/>
        </w:rPr>
        <w:t xml:space="preserve">本项目供应商邀请方式：</w:t>
      </w:r>
      <w:bookmarkStart w:id="3" w:name="EB4808d737793b46c3b9feac6e63a963d3"/>
      <w:r>
        <w:rPr>
          <w:rFonts w:hint="eastAsia" w:ascii="宋体" w:hAnsi="宋体"/>
          <w:color w:val="auto"/>
          <w:sz w:val="22"/>
          <w:highlight w:val="none"/>
        </w:rPr>
        <w:t xml:space="preserve">发布公告</w:t>
      </w:r>
      <w:bookmarkEnd w:id="3"/>
      <w:r/>
      <w:r/>
    </w:p>
    <w:p>
      <w:pPr>
        <w:ind w:firstLine="480"/>
        <w:spacing w:line="360" w:lineRule="auto"/>
        <w:rPr>
          <w:rFonts w:ascii="宋体" w:hAnsi="宋体"/>
          <w:color w:val="auto"/>
          <w:sz w:val="22"/>
          <w:highlight w:val="none"/>
        </w:rPr>
      </w:pPr>
      <w:r>
        <w:rPr>
          <w:rFonts w:hint="eastAsia" w:ascii="宋体" w:hAnsi="宋体"/>
          <w:color w:val="auto"/>
          <w:sz w:val="22"/>
          <w:highlight w:val="none"/>
        </w:rPr>
        <w:t xml:space="preserve">本次采购确定的成交供应商数量：</w:t>
      </w:r>
      <w:bookmarkStart w:id="4" w:name="EB5c24124ec8a5472f86d055936d89b2d9"/>
      <w:r>
        <w:rPr>
          <w:rFonts w:hint="eastAsia" w:ascii="宋体" w:hAnsi="宋体"/>
          <w:color w:val="auto"/>
          <w:sz w:val="22"/>
          <w:highlight w:val="none"/>
        </w:rPr>
        <w:t xml:space="preserve">1名</w:t>
      </w:r>
      <w:bookmarkEnd w:id="4"/>
      <w:r/>
      <w:r/>
    </w:p>
    <w:p>
      <w:pPr>
        <w:pStyle w:val="843"/>
        <w:jc w:val="left"/>
        <w:spacing w:before="200" w:after="200" w:line="360" w:lineRule="auto"/>
        <w:rPr>
          <w:rFonts w:ascii="宋体" w:hAnsi="宋体" w:eastAsia="宋体"/>
          <w:b w:val="0"/>
          <w:color w:val="auto"/>
          <w:sz w:val="22"/>
          <w:szCs w:val="22"/>
          <w:highlight w:val="none"/>
        </w:rPr>
      </w:pPr>
      <w:r/>
      <w:bookmarkStart w:id="5" w:name="_Toc3"/>
      <w:r>
        <w:rPr>
          <w:rFonts w:hint="eastAsia" w:ascii="宋体" w:hAnsi="宋体" w:eastAsia="宋体"/>
          <w:b w:val="0"/>
          <w:color w:val="auto"/>
          <w:sz w:val="22"/>
          <w:szCs w:val="22"/>
          <w:highlight w:val="none"/>
        </w:rPr>
        <w:t xml:space="preserve">二、申请人的资格要求：</w:t>
      </w:r>
      <w:bookmarkEnd w:id="5"/>
      <w:r/>
      <w:r/>
    </w:p>
    <w:p>
      <w:pPr>
        <w:ind w:firstLine="480"/>
        <w:spacing w:line="360" w:lineRule="auto"/>
        <w:rPr>
          <w:rFonts w:ascii="宋体" w:hAnsi="宋体" w:cs="楷体"/>
          <w:color w:val="auto"/>
          <w:sz w:val="24"/>
          <w:szCs w:val="28"/>
          <w:highlight w:val="none"/>
        </w:rPr>
      </w:pPr>
      <w:r/>
      <w:bookmarkStart w:id="6" w:name="_Toc4"/>
      <w:r>
        <w:rPr>
          <w:rFonts w:hint="eastAsia" w:ascii="宋体" w:hAnsi="宋体" w:cs="楷体"/>
          <w:color w:val="auto"/>
          <w:sz w:val="24"/>
          <w:szCs w:val="28"/>
          <w:highlight w:val="none"/>
        </w:rPr>
        <w:t xml:space="preserve">1.满足《中华人民共和国政府采购法》第二十二条规定： </w:t>
      </w:r>
      <w:r/>
    </w:p>
    <w:p>
      <w:pPr>
        <w:ind w:firstLine="480"/>
        <w:spacing w:line="360" w:lineRule="auto"/>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1.1具有独立承担民事责任的能力；                         </w:t>
      </w:r>
      <w:r/>
    </w:p>
    <w:p>
      <w:pPr>
        <w:ind w:firstLine="480"/>
        <w:spacing w:line="360" w:lineRule="auto"/>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1.2具有良好的商业信誉和健全的财务会计制度；                         </w:t>
      </w:r>
      <w:r/>
    </w:p>
    <w:p>
      <w:pPr>
        <w:ind w:firstLine="480"/>
        <w:spacing w:line="360" w:lineRule="auto"/>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1.3具有履行合同所必需的设备和专业技术能力；                         </w:t>
      </w:r>
      <w:r/>
    </w:p>
    <w:p>
      <w:pPr>
        <w:ind w:firstLine="480"/>
        <w:spacing w:line="360" w:lineRule="auto"/>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1.4有依法缴纳税收和社会保障资金的良好记录；                         </w:t>
      </w:r>
      <w:r/>
    </w:p>
    <w:p>
      <w:pPr>
        <w:ind w:firstLine="480"/>
        <w:spacing w:line="360" w:lineRule="auto"/>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1.5参加政府采购活动前三年内，在经营活动中没有重大违法记录;                         </w:t>
      </w:r>
      <w:r/>
    </w:p>
    <w:p>
      <w:pPr>
        <w:ind w:firstLine="480"/>
        <w:spacing w:line="360" w:lineRule="auto"/>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1.6法律、行政法规规定的其他条件。                        </w:t>
      </w:r>
      <w:r/>
    </w:p>
    <w:p>
      <w:pPr>
        <w:ind w:firstLine="480"/>
        <w:spacing w:line="360" w:lineRule="auto"/>
        <w:rPr>
          <w:rFonts w:ascii="宋体" w:hAnsi="宋体" w:cs="楷体"/>
          <w:color w:val="auto"/>
          <w:sz w:val="24"/>
          <w:szCs w:val="28"/>
          <w:highlight w:val="none"/>
        </w:rPr>
      </w:pPr>
      <w:r>
        <w:rPr>
          <w:rFonts w:hint="eastAsia" w:ascii="宋体" w:hAnsi="宋体" w:cs="楷体"/>
          <w:color w:val="auto"/>
          <w:sz w:val="24"/>
          <w:szCs w:val="28"/>
          <w:highlight w:val="none"/>
        </w:rPr>
        <w:t xml:space="preserve">2.落实政府采购政策需满足的资格要求：本项目专门面向中小微企业，提供《中小企业声明函》。</w:t>
      </w:r>
      <w:r/>
    </w:p>
    <w:p>
      <w:pPr>
        <w:ind w:firstLine="480"/>
        <w:spacing w:line="360" w:lineRule="auto"/>
        <w:rPr>
          <w:rFonts w:ascii="宋体" w:hAnsi="宋体" w:cs="楷体"/>
          <w:color w:val="auto"/>
          <w:sz w:val="24"/>
          <w:szCs w:val="28"/>
          <w:highlight w:val="none"/>
        </w:rPr>
      </w:pPr>
      <w:r>
        <w:rPr>
          <w:rFonts w:hint="eastAsia" w:ascii="宋体" w:hAnsi="宋体" w:cs="楷体"/>
          <w:color w:val="auto"/>
          <w:sz w:val="24"/>
          <w:szCs w:val="28"/>
          <w:highlight w:val="none"/>
        </w:rPr>
        <w:t xml:space="preserve">3.本项目的特定资格要求：无。</w:t>
      </w:r>
      <w:r/>
    </w:p>
    <w:p>
      <w:pPr>
        <w:pStyle w:val="843"/>
        <w:jc w:val="left"/>
        <w:spacing w:before="200" w:after="200" w:line="360" w:lineRule="auto"/>
        <w:rPr>
          <w:rFonts w:ascii="宋体" w:hAnsi="宋体" w:eastAsia="宋体"/>
          <w:b w:val="0"/>
          <w:color w:val="auto"/>
          <w:sz w:val="22"/>
          <w:szCs w:val="22"/>
          <w:highlight w:val="none"/>
        </w:rPr>
      </w:pPr>
      <w:r>
        <w:rPr>
          <w:rFonts w:hint="eastAsia" w:ascii="宋体" w:hAnsi="宋体" w:eastAsia="宋体"/>
          <w:b w:val="0"/>
          <w:color w:val="auto"/>
          <w:sz w:val="22"/>
          <w:szCs w:val="22"/>
          <w:highlight w:val="none"/>
        </w:rPr>
        <w:t xml:space="preserve">三、获取磋商文件（本项目采用网上注册登记方式）</w:t>
      </w:r>
      <w:bookmarkEnd w:id="6"/>
      <w:r/>
      <w:r/>
    </w:p>
    <w:p>
      <w:pPr>
        <w:ind w:firstLine="480"/>
        <w:spacing w:line="360" w:lineRule="auto"/>
        <w:rPr>
          <w:rFonts w:ascii="宋体" w:hAnsi="宋体"/>
          <w:color w:val="auto"/>
          <w:sz w:val="22"/>
          <w:highlight w:val="none"/>
        </w:rPr>
      </w:pPr>
      <w:r>
        <w:rPr>
          <w:rFonts w:hint="eastAsia" w:ascii="宋体" w:hAnsi="宋体"/>
          <w:color w:val="auto"/>
          <w:sz w:val="22"/>
          <w:highlight w:val="none"/>
        </w:rPr>
        <w:t xml:space="preserve">1、获取时间：202</w:t>
      </w:r>
      <w:r>
        <w:rPr>
          <w:rFonts w:hint="eastAsia" w:ascii="宋体" w:hAnsi="宋体"/>
          <w:color w:val="auto"/>
          <w:sz w:val="22"/>
          <w:highlight w:val="none"/>
          <w:lang w:val="en-US" w:eastAsia="zh-CN"/>
        </w:rPr>
        <w:t xml:space="preserve">6</w:t>
      </w:r>
      <w:r>
        <w:rPr>
          <w:rFonts w:hint="eastAsia" w:ascii="宋体" w:hAnsi="宋体"/>
          <w:color w:val="auto"/>
          <w:sz w:val="22"/>
          <w:highlight w:val="none"/>
        </w:rPr>
        <w:t xml:space="preserve">年</w:t>
      </w:r>
      <w:r>
        <w:rPr>
          <w:rFonts w:hint="eastAsia" w:ascii="宋体" w:hAnsi="宋体"/>
          <w:color w:val="auto"/>
          <w:sz w:val="22"/>
          <w:highlight w:val="none"/>
          <w:lang w:val="en-US" w:eastAsia="zh-CN"/>
        </w:rPr>
        <w:t xml:space="preserve">05</w:t>
      </w:r>
      <w:r>
        <w:rPr>
          <w:rFonts w:hint="eastAsia" w:ascii="宋体" w:hAnsi="宋体"/>
          <w:color w:val="auto"/>
          <w:sz w:val="22"/>
          <w:highlight w:val="none"/>
        </w:rPr>
        <w:t xml:space="preserve">月</w:t>
      </w:r>
      <w:r>
        <w:rPr>
          <w:rFonts w:hint="eastAsia" w:ascii="宋体" w:hAnsi="宋体"/>
          <w:color w:val="auto"/>
          <w:sz w:val="22"/>
          <w:highlight w:val="none"/>
          <w:lang w:val="en-US" w:eastAsia="zh-CN"/>
        </w:rPr>
        <w:t xml:space="preserve">18</w:t>
      </w:r>
      <w:r>
        <w:rPr>
          <w:rFonts w:hint="eastAsia" w:ascii="宋体" w:hAnsi="宋体"/>
          <w:color w:val="auto"/>
          <w:sz w:val="22"/>
          <w:highlight w:val="none"/>
        </w:rPr>
        <w:t xml:space="preserve">日0:00起至202</w:t>
      </w:r>
      <w:r>
        <w:rPr>
          <w:rFonts w:hint="eastAsia" w:ascii="宋体" w:hAnsi="宋体"/>
          <w:color w:val="auto"/>
          <w:sz w:val="22"/>
          <w:highlight w:val="none"/>
          <w:lang w:val="en-US" w:eastAsia="zh-CN"/>
        </w:rPr>
        <w:t xml:space="preserve">6</w:t>
      </w:r>
      <w:r>
        <w:rPr>
          <w:rFonts w:hint="eastAsia" w:ascii="宋体" w:hAnsi="宋体"/>
          <w:color w:val="auto"/>
          <w:sz w:val="22"/>
          <w:highlight w:val="none"/>
        </w:rPr>
        <w:t xml:space="preserve">年</w:t>
      </w:r>
      <w:r>
        <w:rPr>
          <w:rFonts w:hint="eastAsia" w:ascii="宋体" w:hAnsi="宋体"/>
          <w:color w:val="auto"/>
          <w:sz w:val="22"/>
          <w:highlight w:val="none"/>
          <w:lang w:val="en-US" w:eastAsia="zh-CN"/>
        </w:rPr>
        <w:t xml:space="preserve">05</w:t>
      </w:r>
      <w:r>
        <w:rPr>
          <w:rFonts w:hint="eastAsia" w:ascii="宋体" w:hAnsi="宋体"/>
          <w:color w:val="auto"/>
          <w:sz w:val="22"/>
          <w:highlight w:val="none"/>
        </w:rPr>
        <w:t xml:space="preserve">月</w:t>
      </w:r>
      <w:r>
        <w:rPr>
          <w:rFonts w:hint="eastAsia" w:ascii="宋体" w:hAnsi="宋体"/>
          <w:color w:val="auto"/>
          <w:sz w:val="22"/>
          <w:highlight w:val="none"/>
          <w:lang w:val="en-US" w:eastAsia="zh-CN"/>
        </w:rPr>
        <w:t xml:space="preserve">25</w:t>
      </w:r>
      <w:r>
        <w:rPr>
          <w:rFonts w:hint="eastAsia" w:ascii="宋体" w:hAnsi="宋体"/>
          <w:color w:val="auto"/>
          <w:sz w:val="22"/>
          <w:highlight w:val="none"/>
        </w:rPr>
        <w:t xml:space="preserve">日 23:59分（北京时间）</w:t>
      </w:r>
      <w:r/>
    </w:p>
    <w:p>
      <w:pPr>
        <w:ind w:firstLine="480"/>
        <w:spacing w:line="360" w:lineRule="auto"/>
        <w:rPr>
          <w:rFonts w:ascii="宋体" w:hAnsi="宋体"/>
          <w:i/>
          <w:iCs/>
          <w:color w:val="auto"/>
          <w:sz w:val="22"/>
          <w:highlight w:val="none"/>
        </w:rPr>
      </w:pPr>
      <w:r>
        <w:rPr>
          <w:rFonts w:hint="eastAsia" w:ascii="宋体" w:hAnsi="宋体"/>
          <w:color w:val="auto"/>
          <w:sz w:val="22"/>
          <w:highlight w:val="none"/>
        </w:rPr>
        <w:t xml:space="preserve">2、获取地点：</w:t>
      </w:r>
      <w:r>
        <w:rPr>
          <w:rFonts w:hint="eastAsia" w:ascii="宋体" w:hAnsi="宋体"/>
          <w:iCs/>
          <w:color w:val="auto"/>
          <w:sz w:val="22"/>
          <w:highlight w:val="none"/>
        </w:rPr>
        <w:t xml:space="preserve">苏采云电子交易平台（网址：http://jszfcg.jsczt.cn/）获取磋商文件</w:t>
      </w:r>
      <w:r/>
    </w:p>
    <w:p>
      <w:pPr>
        <w:ind w:firstLine="480"/>
        <w:spacing w:line="360" w:lineRule="auto"/>
        <w:rPr>
          <w:rFonts w:ascii="宋体" w:hAnsi="宋体"/>
          <w:color w:val="auto"/>
          <w:sz w:val="22"/>
          <w:highlight w:val="none"/>
        </w:rPr>
      </w:pPr>
      <w:r>
        <w:rPr>
          <w:rFonts w:hint="eastAsia" w:ascii="宋体" w:hAnsi="宋体"/>
          <w:color w:val="auto"/>
          <w:sz w:val="22"/>
          <w:highlight w:val="none"/>
        </w:rPr>
        <w:t xml:space="preserve">3、获取方式：在线获取，操作指南详见江苏省政府采购网—办事指南—资料下载《江苏省政府采购管理交易系统(苏采云)供应商操作指南》</w:t>
      </w:r>
      <w:r/>
    </w:p>
    <w:p>
      <w:pPr>
        <w:ind w:firstLine="480"/>
        <w:spacing w:line="360" w:lineRule="auto"/>
        <w:rPr>
          <w:rFonts w:ascii="宋体" w:hAnsi="宋体"/>
          <w:color w:val="auto"/>
          <w:sz w:val="22"/>
          <w:highlight w:val="none"/>
        </w:rPr>
      </w:pPr>
      <w:r>
        <w:rPr>
          <w:rFonts w:hint="eastAsia" w:ascii="宋体" w:hAnsi="宋体"/>
          <w:color w:val="auto"/>
          <w:sz w:val="22"/>
          <w:highlight w:val="none"/>
        </w:rPr>
        <w:t xml:space="preserve">4、采购文件售价：免费</w:t>
      </w:r>
      <w:r/>
    </w:p>
    <w:p>
      <w:pPr>
        <w:pStyle w:val="843"/>
        <w:jc w:val="left"/>
        <w:spacing w:before="200" w:after="200" w:line="360" w:lineRule="auto"/>
        <w:rPr>
          <w:rFonts w:ascii="宋体" w:hAnsi="宋体" w:eastAsia="宋体"/>
          <w:b w:val="0"/>
          <w:color w:val="auto"/>
          <w:sz w:val="22"/>
          <w:szCs w:val="22"/>
          <w:highlight w:val="none"/>
        </w:rPr>
      </w:pPr>
      <w:r/>
      <w:bookmarkStart w:id="7" w:name="_Toc5"/>
      <w:r>
        <w:rPr>
          <w:rFonts w:hint="eastAsia" w:ascii="宋体" w:hAnsi="宋体" w:eastAsia="宋体"/>
          <w:b w:val="0"/>
          <w:color w:val="auto"/>
          <w:sz w:val="22"/>
          <w:szCs w:val="22"/>
          <w:highlight w:val="none"/>
        </w:rPr>
        <w:t xml:space="preserve">四、首次响应文件提交（电子响应文件）</w:t>
      </w:r>
      <w:bookmarkEnd w:id="7"/>
      <w:r/>
      <w:r/>
    </w:p>
    <w:p>
      <w:pPr>
        <w:ind w:firstLine="480"/>
        <w:spacing w:line="360" w:lineRule="auto"/>
        <w:rPr>
          <w:rFonts w:ascii="宋体" w:hAnsi="宋体"/>
          <w:bCs/>
          <w:color w:val="auto"/>
          <w:sz w:val="22"/>
          <w:highlight w:val="none"/>
          <w:u w:val="single"/>
        </w:rPr>
      </w:pPr>
      <w:r>
        <w:rPr>
          <w:rFonts w:hint="eastAsia" w:ascii="宋体" w:hAnsi="宋体"/>
          <w:bCs/>
          <w:color w:val="auto"/>
          <w:sz w:val="22"/>
          <w:highlight w:val="none"/>
        </w:rPr>
        <w:t xml:space="preserve">1、响应文件提交截止时间：</w:t>
      </w:r>
      <w:bookmarkStart w:id="8" w:name="EBc44d053eaddd4397a37bc2fc3c3b90e6"/>
      <w:r>
        <w:rPr>
          <w:rFonts w:hint="eastAsia" w:ascii="宋体" w:hAnsi="宋体"/>
          <w:bCs/>
          <w:color w:val="auto"/>
          <w:sz w:val="22"/>
          <w:highlight w:val="none"/>
        </w:rPr>
        <w:t xml:space="preserve">202</w:t>
      </w:r>
      <w:r>
        <w:rPr>
          <w:rFonts w:hint="eastAsia" w:ascii="宋体" w:hAnsi="宋体"/>
          <w:bCs/>
          <w:color w:val="auto"/>
          <w:sz w:val="22"/>
          <w:highlight w:val="none"/>
          <w:lang w:val="en-US" w:eastAsia="zh-CN"/>
        </w:rPr>
        <w:t xml:space="preserve">6</w:t>
      </w:r>
      <w:r>
        <w:rPr>
          <w:rFonts w:hint="eastAsia" w:ascii="宋体" w:hAnsi="宋体"/>
          <w:bCs/>
          <w:color w:val="auto"/>
          <w:sz w:val="22"/>
          <w:highlight w:val="none"/>
          <w:lang w:eastAsia="zh-CN"/>
        </w:rPr>
        <w:t xml:space="preserve">年</w:t>
      </w:r>
      <w:r>
        <w:rPr>
          <w:rFonts w:hint="eastAsia" w:ascii="宋体" w:hAnsi="宋体"/>
          <w:bCs/>
          <w:color w:val="auto"/>
          <w:sz w:val="22"/>
          <w:highlight w:val="none"/>
          <w:lang w:val="en-US" w:eastAsia="zh-CN"/>
        </w:rPr>
        <w:t xml:space="preserve">05</w:t>
      </w:r>
      <w:r>
        <w:rPr>
          <w:rFonts w:hint="eastAsia" w:ascii="宋体" w:hAnsi="宋体"/>
          <w:color w:val="auto"/>
          <w:sz w:val="22"/>
          <w:highlight w:val="none"/>
          <w:lang w:val="en-US" w:eastAsia="zh-CN"/>
        </w:rPr>
        <w:t xml:space="preserve">月28日</w:t>
      </w:r>
      <w:r>
        <w:rPr>
          <w:rFonts w:hint="eastAsia" w:ascii="宋体" w:hAnsi="宋体"/>
          <w:color w:val="auto"/>
          <w:sz w:val="22"/>
          <w:highlight w:val="none"/>
        </w:rPr>
        <w:t xml:space="preserve"> 9:30</w:t>
      </w:r>
      <w:bookmarkEnd w:id="8"/>
      <w:r>
        <w:rPr>
          <w:rFonts w:hint="eastAsia" w:ascii="宋体" w:hAnsi="宋体"/>
          <w:color w:val="auto"/>
          <w:sz w:val="22"/>
          <w:highlight w:val="none"/>
        </w:rPr>
        <w:t xml:space="preserve">（截止时间</w:t>
      </w:r>
      <w:r>
        <w:rPr>
          <w:rFonts w:hint="eastAsia" w:ascii="宋体" w:hAnsi="宋体"/>
          <w:bCs/>
          <w:color w:val="auto"/>
          <w:sz w:val="22"/>
          <w:highlight w:val="none"/>
        </w:rPr>
        <w:t xml:space="preserve">）</w:t>
      </w:r>
      <w:r/>
    </w:p>
    <w:p>
      <w:pPr>
        <w:ind w:firstLine="480"/>
        <w:spacing w:line="360" w:lineRule="auto"/>
        <w:rPr>
          <w:rFonts w:ascii="宋体" w:hAnsi="宋体"/>
          <w:color w:val="auto"/>
          <w:sz w:val="22"/>
          <w:highlight w:val="none"/>
        </w:rPr>
      </w:pPr>
      <w:r>
        <w:rPr>
          <w:rFonts w:hint="eastAsia" w:ascii="宋体" w:hAnsi="宋体"/>
          <w:color w:val="auto"/>
          <w:sz w:val="22"/>
          <w:highlight w:val="none"/>
        </w:rPr>
        <w:t xml:space="preserve">2、线上地点：通过“苏采云”系统上传响应文件。</w:t>
      </w:r>
      <w:r/>
    </w:p>
    <w:p>
      <w:pPr>
        <w:ind w:firstLine="480"/>
        <w:spacing w:line="360" w:lineRule="auto"/>
        <w:rPr>
          <w:rFonts w:ascii="宋体" w:hAnsi="宋体"/>
          <w:color w:val="auto"/>
          <w:sz w:val="22"/>
          <w:highlight w:val="none"/>
        </w:rPr>
      </w:pPr>
      <w:r>
        <w:rPr>
          <w:rFonts w:hint="eastAsia" w:ascii="宋体" w:hAnsi="宋体"/>
          <w:color w:val="auto"/>
          <w:sz w:val="22"/>
          <w:highlight w:val="none"/>
        </w:rPr>
        <w:t xml:space="preserve">3、操作注意：本项目通过苏采云电子交易平台进行采购，供应商须通过“苏采云”平台在线制作并提交响应文件。截至投标截止时间，电子交易平台投标通道将关闭，供应商未完成电子响应文件有效提交的，其投标将被拒绝。</w:t>
      </w:r>
      <w:r/>
    </w:p>
    <w:p>
      <w:pPr>
        <w:pStyle w:val="843"/>
        <w:jc w:val="left"/>
        <w:spacing w:before="200" w:after="200" w:line="360" w:lineRule="auto"/>
        <w:rPr>
          <w:rFonts w:ascii="宋体" w:hAnsi="宋体" w:eastAsia="宋体"/>
          <w:b w:val="0"/>
          <w:color w:val="auto"/>
          <w:sz w:val="22"/>
          <w:szCs w:val="22"/>
          <w:highlight w:val="none"/>
        </w:rPr>
      </w:pPr>
      <w:r/>
      <w:bookmarkStart w:id="9" w:name="_Toc6"/>
      <w:r>
        <w:rPr>
          <w:rFonts w:hint="eastAsia" w:ascii="宋体" w:hAnsi="宋体" w:eastAsia="宋体"/>
          <w:b w:val="0"/>
          <w:color w:val="auto"/>
          <w:sz w:val="22"/>
          <w:szCs w:val="22"/>
          <w:highlight w:val="none"/>
        </w:rPr>
        <w:t xml:space="preserve">五、开启</w:t>
      </w:r>
      <w:bookmarkEnd w:id="9"/>
      <w:r/>
      <w:r/>
    </w:p>
    <w:p>
      <w:pPr>
        <w:ind w:firstLine="480"/>
        <w:spacing w:line="440" w:lineRule="exact"/>
        <w:rPr>
          <w:rFonts w:ascii="宋体" w:hAnsi="宋体"/>
          <w:bCs/>
          <w:color w:val="auto"/>
          <w:sz w:val="22"/>
          <w:highlight w:val="none"/>
        </w:rPr>
      </w:pPr>
      <w:r>
        <w:rPr>
          <w:rFonts w:hint="eastAsia" w:ascii="宋体" w:hAnsi="宋体"/>
          <w:bCs/>
          <w:color w:val="auto"/>
          <w:sz w:val="22"/>
          <w:highlight w:val="none"/>
        </w:rPr>
        <w:t xml:space="preserve">1、时间：</w:t>
      </w:r>
      <w:bookmarkStart w:id="10" w:name="EBa45f773df26c4d3ba284095b8efb9ed5"/>
      <w:r>
        <w:rPr>
          <w:rFonts w:hint="eastAsia" w:ascii="宋体" w:hAnsi="宋体"/>
          <w:bCs/>
          <w:color w:val="auto"/>
          <w:sz w:val="22"/>
          <w:highlight w:val="none"/>
        </w:rPr>
        <w:t xml:space="preserve">202</w:t>
      </w:r>
      <w:r>
        <w:rPr>
          <w:rFonts w:hint="eastAsia" w:ascii="宋体" w:hAnsi="宋体"/>
          <w:bCs/>
          <w:color w:val="auto"/>
          <w:sz w:val="22"/>
          <w:highlight w:val="none"/>
          <w:lang w:val="en-US" w:eastAsia="zh-CN"/>
        </w:rPr>
        <w:t xml:space="preserve">6</w:t>
      </w:r>
      <w:r>
        <w:rPr>
          <w:rFonts w:hint="eastAsia" w:ascii="宋体" w:hAnsi="宋体"/>
          <w:bCs/>
          <w:color w:val="auto"/>
          <w:sz w:val="22"/>
          <w:highlight w:val="none"/>
          <w:lang w:eastAsia="zh-CN"/>
        </w:rPr>
        <w:t xml:space="preserve">年</w:t>
      </w:r>
      <w:r>
        <w:rPr>
          <w:rFonts w:hint="eastAsia" w:ascii="宋体" w:hAnsi="宋体"/>
          <w:bCs/>
          <w:color w:val="auto"/>
          <w:sz w:val="22"/>
          <w:highlight w:val="none"/>
          <w:lang w:val="en-US" w:eastAsia="zh-CN"/>
        </w:rPr>
        <w:t xml:space="preserve">05月 28日</w:t>
      </w:r>
      <w:r>
        <w:rPr>
          <w:rFonts w:hint="eastAsia" w:ascii="宋体" w:hAnsi="宋体"/>
          <w:bCs/>
          <w:color w:val="auto"/>
          <w:sz w:val="22"/>
          <w:highlight w:val="none"/>
        </w:rPr>
        <w:t xml:space="preserve">  9:30</w:t>
      </w:r>
      <w:bookmarkEnd w:id="10"/>
      <w:r/>
      <w:r/>
    </w:p>
    <w:p>
      <w:pPr>
        <w:ind w:firstLine="480"/>
        <w:spacing w:line="440" w:lineRule="exact"/>
        <w:rPr>
          <w:rFonts w:ascii="宋体" w:hAnsi="宋体"/>
          <w:bCs/>
          <w:color w:val="auto"/>
          <w:sz w:val="22"/>
          <w:highlight w:val="none"/>
          <w:u w:val="single"/>
        </w:rPr>
      </w:pPr>
      <w:r>
        <w:rPr>
          <w:rFonts w:hint="eastAsia" w:ascii="宋体" w:hAnsi="宋体"/>
          <w:bCs/>
          <w:color w:val="auto"/>
          <w:sz w:val="22"/>
          <w:highlight w:val="none"/>
        </w:rPr>
        <w:t xml:space="preserve">2、地点</w:t>
      </w:r>
      <w:r>
        <w:rPr>
          <w:rFonts w:hint="eastAsia" w:ascii="宋体" w:hAnsi="宋体" w:cs="宋体"/>
          <w:color w:val="auto"/>
          <w:sz w:val="22"/>
          <w:highlight w:val="none"/>
        </w:rPr>
        <w:t xml:space="preserve">：“苏采云”系统网上“开标大厅”</w:t>
      </w:r>
      <w:r/>
    </w:p>
    <w:p>
      <w:pPr>
        <w:ind w:firstLine="482"/>
        <w:spacing w:line="440" w:lineRule="exact"/>
        <w:rPr>
          <w:rFonts w:ascii="宋体" w:hAnsi="宋体" w:cs="宋体"/>
          <w:b/>
          <w:color w:val="auto"/>
          <w:sz w:val="22"/>
          <w:highlight w:val="none"/>
        </w:rPr>
      </w:pPr>
      <w:r/>
      <w:bookmarkStart w:id="11" w:name="EB1e3261ca0e404b5ba49c0c1ef6c2e0b2"/>
      <w:r/>
      <w:bookmarkEnd w:id="11"/>
      <w:r>
        <w:rPr>
          <w:rFonts w:hint="eastAsia" w:ascii="宋体" w:hAnsi="宋体" w:cs="宋体"/>
          <w:b/>
          <w:color w:val="auto"/>
          <w:sz w:val="22"/>
          <w:highlight w:val="none"/>
        </w:rPr>
        <w:t xml:space="preserve">注：本项目采用网上磋商方式，请供应商事先做好电脑环境准备，自行选择互联网连接畅通的场地，在规定的开启时间登录网上开标大厅进行磋商响应文件解密。</w:t>
      </w:r>
      <w:r/>
    </w:p>
    <w:p>
      <w:pPr>
        <w:pStyle w:val="843"/>
        <w:jc w:val="left"/>
        <w:spacing w:before="200" w:after="200" w:line="360" w:lineRule="auto"/>
        <w:rPr>
          <w:rFonts w:ascii="宋体" w:hAnsi="宋体" w:eastAsia="宋体"/>
          <w:b w:val="0"/>
          <w:color w:val="auto"/>
          <w:sz w:val="22"/>
          <w:szCs w:val="22"/>
          <w:highlight w:val="none"/>
        </w:rPr>
      </w:pPr>
      <w:r/>
      <w:bookmarkStart w:id="12" w:name="_Toc7"/>
      <w:r>
        <w:rPr>
          <w:rFonts w:hint="eastAsia" w:ascii="宋体" w:hAnsi="宋体" w:eastAsia="宋体"/>
          <w:b w:val="0"/>
          <w:color w:val="auto"/>
          <w:sz w:val="22"/>
          <w:szCs w:val="22"/>
          <w:highlight w:val="none"/>
        </w:rPr>
        <w:t xml:space="preserve">六、公告期限</w:t>
      </w:r>
      <w:bookmarkEnd w:id="12"/>
      <w:r/>
      <w:r/>
    </w:p>
    <w:p>
      <w:pPr>
        <w:ind w:firstLine="480"/>
        <w:spacing w:line="440" w:lineRule="exact"/>
        <w:rPr>
          <w:rFonts w:ascii="宋体" w:hAnsi="宋体" w:cs="宋体"/>
          <w:color w:val="auto"/>
          <w:sz w:val="22"/>
          <w:highlight w:val="none"/>
        </w:rPr>
      </w:pPr>
      <w:r>
        <w:rPr>
          <w:rFonts w:hint="eastAsia" w:ascii="宋体" w:hAnsi="宋体" w:cs="宋体"/>
          <w:color w:val="auto"/>
          <w:sz w:val="22"/>
          <w:highlight w:val="none"/>
        </w:rPr>
        <w:t xml:space="preserve">自本公告发布之日起3个工作日。</w:t>
      </w:r>
      <w:r/>
    </w:p>
    <w:p>
      <w:pPr>
        <w:pStyle w:val="843"/>
        <w:jc w:val="left"/>
        <w:spacing w:before="200" w:after="200" w:line="360" w:lineRule="auto"/>
        <w:rPr>
          <w:rFonts w:ascii="宋体" w:hAnsi="宋体" w:eastAsia="宋体"/>
          <w:b w:val="0"/>
          <w:color w:val="auto"/>
          <w:sz w:val="22"/>
          <w:szCs w:val="22"/>
          <w:highlight w:val="none"/>
        </w:rPr>
      </w:pPr>
      <w:r/>
      <w:bookmarkStart w:id="13" w:name="_Toc8"/>
      <w:r>
        <w:rPr>
          <w:rFonts w:hint="eastAsia" w:ascii="宋体" w:hAnsi="宋体" w:eastAsia="宋体"/>
          <w:b w:val="0"/>
          <w:color w:val="auto"/>
          <w:sz w:val="22"/>
          <w:szCs w:val="22"/>
          <w:highlight w:val="none"/>
        </w:rPr>
        <w:t xml:space="preserve">七、其他补充事宜</w:t>
      </w:r>
      <w:bookmarkEnd w:id="13"/>
      <w:r/>
      <w:r/>
    </w:p>
    <w:p>
      <w:pPr>
        <w:ind w:firstLine="480"/>
        <w:spacing w:line="360" w:lineRule="auto"/>
        <w:rPr>
          <w:rFonts w:ascii="宋体" w:hAnsi="宋体" w:cs="宋体"/>
          <w:color w:val="auto"/>
          <w:sz w:val="22"/>
          <w:highlight w:val="none"/>
        </w:rPr>
      </w:pPr>
      <w:r>
        <w:rPr>
          <w:rFonts w:hint="eastAsia" w:ascii="宋体" w:hAnsi="宋体" w:cs="宋体"/>
          <w:color w:val="auto"/>
          <w:sz w:val="22"/>
          <w:highlight w:val="none"/>
        </w:rPr>
        <w:t xml:space="preserve">1.根据省财政厅《关于</w:t>
      </w:r>
      <w:r>
        <w:rPr>
          <w:rFonts w:hint="eastAsia" w:ascii="宋体" w:hAnsi="宋体" w:cs="宋体"/>
          <w:color w:val="auto"/>
          <w:sz w:val="22"/>
          <w:highlight w:val="none"/>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360" w:lineRule="auto"/>
        <w:rPr>
          <w:rFonts w:ascii="宋体" w:hAnsi="宋体" w:cs="宋体"/>
          <w:color w:val="auto"/>
          <w:sz w:val="22"/>
          <w:highlight w:val="none"/>
        </w:rPr>
      </w:pPr>
      <w:r>
        <w:rPr>
          <w:rFonts w:hint="eastAsia" w:ascii="宋体" w:hAnsi="宋体" w:cs="宋体"/>
          <w:color w:val="auto"/>
          <w:sz w:val="22"/>
          <w:highlight w:val="none"/>
        </w:rPr>
        <w:t xml:space="preserve">领取CA和办理电子签章(请至镇江市润州区冠城路8号工人大厦7楼公共资源交易中心大厅CA办理窗口办理，具体联系方式见《苏采云系统供应商操作手册》（以下简称《操作手册》））、进行注册并按《操作手册》要求制作、上传电子投标文件。</w:t>
      </w:r>
      <w:r/>
    </w:p>
    <w:p>
      <w:pPr>
        <w:ind w:firstLine="480"/>
        <w:spacing w:line="360" w:lineRule="auto"/>
        <w:rPr>
          <w:rFonts w:ascii="宋体" w:hAnsi="宋体" w:cs="宋体"/>
          <w:color w:val="auto"/>
          <w:sz w:val="22"/>
          <w:highlight w:val="none"/>
        </w:rPr>
      </w:pPr>
      <w:r>
        <w:rPr>
          <w:rFonts w:hint="eastAsia" w:ascii="宋体" w:hAnsi="宋体" w:cs="宋体"/>
          <w:color w:val="auto"/>
          <w:sz w:val="22"/>
          <w:highlight w:val="none"/>
        </w:rPr>
        <w:t xml:space="preserve">2. 有关本次磋商的事项若存在变动或修改，敬请及时关注丹阳市政府采购中心在“江苏政府采购网”发布的更正公告。</w:t>
      </w:r>
      <w:r/>
    </w:p>
    <w:p>
      <w:pPr>
        <w:ind w:firstLine="480"/>
        <w:spacing w:line="360" w:lineRule="auto"/>
        <w:rPr>
          <w:rFonts w:ascii="宋体" w:hAnsi="宋体" w:cs="宋体"/>
          <w:color w:val="auto"/>
          <w:sz w:val="22"/>
          <w:highlight w:val="none"/>
        </w:rPr>
      </w:pPr>
      <w:r>
        <w:rPr>
          <w:rFonts w:hint="eastAsia" w:ascii="宋体" w:hAnsi="宋体" w:cs="宋体"/>
          <w:color w:val="auto"/>
          <w:sz w:val="22"/>
          <w:highlight w:val="none"/>
        </w:rPr>
        <w:t xml:space="preserve">3.供应商在使用系统进行投标的过程中如遇到涉及“苏采云”系统使用的任何问题，应在工作日上午9：00-11：30下午13：30-17：30期间致电技术支持热线咨询，联系电话：0519-86722803、0519-86722805。</w:t>
      </w:r>
      <w:r/>
    </w:p>
    <w:p>
      <w:pPr>
        <w:ind w:firstLine="480"/>
        <w:spacing w:line="360" w:lineRule="auto"/>
        <w:rPr>
          <w:rFonts w:ascii="宋体" w:hAnsi="宋体" w:cs="宋体"/>
          <w:color w:val="auto"/>
          <w:sz w:val="22"/>
          <w:highlight w:val="none"/>
        </w:rPr>
      </w:pPr>
      <w:r>
        <w:rPr>
          <w:rFonts w:hint="eastAsia" w:ascii="宋体" w:hAnsi="宋体" w:cs="宋体"/>
          <w:color w:val="auto"/>
          <w:sz w:val="22"/>
          <w:highlight w:val="none"/>
        </w:rPr>
        <w:t xml:space="preserve">4. 本次磋商不收取磋商保证金。</w:t>
      </w:r>
      <w:r/>
    </w:p>
    <w:p>
      <w:pPr>
        <w:pStyle w:val="843"/>
        <w:jc w:val="left"/>
        <w:spacing w:before="200" w:after="200" w:line="360" w:lineRule="auto"/>
        <w:rPr>
          <w:rFonts w:ascii="宋体" w:hAnsi="宋体" w:eastAsia="宋体"/>
          <w:b w:val="0"/>
          <w:color w:val="auto"/>
          <w:sz w:val="22"/>
          <w:szCs w:val="22"/>
          <w:highlight w:val="none"/>
        </w:rPr>
      </w:pPr>
      <w:r/>
      <w:bookmarkStart w:id="14" w:name="_Toc9"/>
      <w:r>
        <w:rPr>
          <w:rFonts w:hint="eastAsia" w:ascii="宋体" w:hAnsi="宋体" w:eastAsia="宋体"/>
          <w:b w:val="0"/>
          <w:color w:val="auto"/>
          <w:sz w:val="22"/>
          <w:szCs w:val="22"/>
          <w:highlight w:val="none"/>
        </w:rPr>
        <w:t xml:space="preserve">八、对本次磋商提出询问，请按以下方式联系。</w:t>
      </w:r>
      <w:bookmarkEnd w:id="14"/>
      <w:r/>
      <w:r/>
    </w:p>
    <w:p>
      <w:pPr>
        <w:ind w:firstLine="480"/>
        <w:spacing w:line="440" w:lineRule="exact"/>
        <w:widowControl/>
        <w:rPr>
          <w:rFonts w:ascii="宋体" w:hAnsi="宋体"/>
          <w:color w:val="auto"/>
          <w:sz w:val="22"/>
          <w:highlight w:val="none"/>
        </w:rPr>
      </w:pPr>
      <w:r>
        <w:rPr>
          <w:rFonts w:hint="eastAsia" w:ascii="宋体" w:hAnsi="宋体" w:cs="宋体"/>
          <w:color w:val="auto"/>
          <w:sz w:val="22"/>
          <w:highlight w:val="none"/>
        </w:rPr>
        <w:t xml:space="preserve">1.采购人信息</w:t>
      </w:r>
      <w:r/>
    </w:p>
    <w:p>
      <w:pPr>
        <w:ind w:firstLine="480"/>
        <w:spacing w:line="440" w:lineRule="exact"/>
        <w:widowControl/>
        <w:rPr>
          <w:rFonts w:ascii="宋体" w:hAnsi="宋体"/>
          <w:color w:val="auto"/>
          <w:sz w:val="22"/>
          <w:highlight w:val="none"/>
        </w:rPr>
      </w:pPr>
      <w:r>
        <w:rPr>
          <w:rFonts w:hint="eastAsia" w:ascii="宋体" w:hAnsi="宋体"/>
          <w:color w:val="auto"/>
          <w:sz w:val="22"/>
          <w:highlight w:val="none"/>
        </w:rPr>
        <w:t xml:space="preserve">名 称：丹阳市人力资源和社会保障局</w:t>
      </w:r>
      <w:r/>
    </w:p>
    <w:p>
      <w:pPr>
        <w:ind w:firstLine="480"/>
        <w:spacing w:line="440" w:lineRule="exact"/>
        <w:widowControl/>
        <w:rPr>
          <w:rFonts w:ascii="宋体" w:hAnsi="宋体"/>
          <w:color w:val="auto"/>
          <w:sz w:val="22"/>
          <w:highlight w:val="none"/>
        </w:rPr>
      </w:pPr>
      <w:r>
        <w:rPr>
          <w:rFonts w:hint="eastAsia" w:ascii="宋体" w:hAnsi="宋体"/>
          <w:color w:val="auto"/>
          <w:sz w:val="22"/>
          <w:highlight w:val="none"/>
        </w:rPr>
        <w:t xml:space="preserve">地 址：丹阳开发区凤凰路85号</w:t>
      </w:r>
      <w:r/>
    </w:p>
    <w:p>
      <w:pPr>
        <w:ind w:firstLine="480"/>
        <w:spacing w:line="440" w:lineRule="exact"/>
        <w:widowControl/>
        <w:rPr>
          <w:rFonts w:ascii="宋体" w:hAnsi="宋体"/>
          <w:color w:val="auto"/>
          <w:sz w:val="22"/>
          <w:highlight w:val="none"/>
        </w:rPr>
      </w:pPr>
      <w:r>
        <w:rPr>
          <w:rFonts w:hint="eastAsia" w:ascii="宋体" w:hAnsi="宋体"/>
          <w:color w:val="auto"/>
          <w:sz w:val="22"/>
          <w:highlight w:val="none"/>
        </w:rPr>
        <w:t xml:space="preserve">联系方式：15358608885</w:t>
      </w:r>
      <w:r/>
    </w:p>
    <w:p>
      <w:pPr>
        <w:ind w:firstLine="480"/>
        <w:spacing w:line="440" w:lineRule="exact"/>
        <w:widowControl/>
        <w:rPr>
          <w:rFonts w:ascii="宋体" w:hAnsi="宋体"/>
          <w:color w:val="auto"/>
          <w:sz w:val="22"/>
          <w:highlight w:val="none"/>
        </w:rPr>
      </w:pPr>
      <w:r>
        <w:rPr>
          <w:rFonts w:hint="eastAsia" w:ascii="宋体" w:hAnsi="宋体" w:cs="宋体"/>
          <w:color w:val="auto"/>
          <w:sz w:val="22"/>
          <w:highlight w:val="none"/>
        </w:rPr>
        <w:t xml:space="preserve">2.采购代理机构信息</w:t>
      </w:r>
      <w:r/>
    </w:p>
    <w:p>
      <w:pPr>
        <w:ind w:firstLine="480"/>
        <w:spacing w:line="440" w:lineRule="exact"/>
        <w:widowControl/>
        <w:rPr>
          <w:rFonts w:ascii="宋体" w:hAnsi="宋体"/>
          <w:color w:val="auto"/>
          <w:sz w:val="22"/>
          <w:highlight w:val="none"/>
        </w:rPr>
      </w:pPr>
      <w:r>
        <w:rPr>
          <w:rFonts w:hint="eastAsia" w:ascii="宋体" w:hAnsi="宋体"/>
          <w:color w:val="auto"/>
          <w:sz w:val="22"/>
          <w:highlight w:val="none"/>
        </w:rPr>
        <w:t xml:space="preserve">名 称：丹阳市政府采购中心</w:t>
      </w:r>
      <w:r/>
    </w:p>
    <w:p>
      <w:pPr>
        <w:ind w:firstLine="480"/>
        <w:spacing w:line="440" w:lineRule="exact"/>
        <w:widowControl/>
        <w:rPr>
          <w:rFonts w:ascii="宋体" w:hAnsi="宋体"/>
          <w:color w:val="auto"/>
          <w:sz w:val="22"/>
          <w:highlight w:val="none"/>
        </w:rPr>
      </w:pPr>
      <w:r>
        <w:rPr>
          <w:rFonts w:hint="eastAsia" w:ascii="宋体" w:hAnsi="宋体"/>
          <w:color w:val="auto"/>
          <w:sz w:val="22"/>
          <w:highlight w:val="none"/>
        </w:rPr>
        <w:t xml:space="preserve">地 址：丹阳市开发区兰陵路88号4楼404室</w:t>
      </w:r>
      <w:r/>
    </w:p>
    <w:p>
      <w:pPr>
        <w:ind w:firstLine="480"/>
        <w:spacing w:line="440" w:lineRule="exact"/>
        <w:widowControl/>
        <w:rPr>
          <w:rFonts w:ascii="宋体" w:hAnsi="宋体"/>
          <w:color w:val="auto"/>
          <w:sz w:val="22"/>
          <w:highlight w:val="none"/>
        </w:rPr>
      </w:pPr>
      <w:r>
        <w:rPr>
          <w:rFonts w:hint="eastAsia" w:ascii="宋体" w:hAnsi="宋体"/>
          <w:color w:val="auto"/>
          <w:sz w:val="22"/>
          <w:highlight w:val="none"/>
        </w:rPr>
        <w:t xml:space="preserve">联系方式：0511-86906230</w:t>
      </w:r>
      <w:r/>
    </w:p>
    <w:p>
      <w:pPr>
        <w:ind w:firstLine="480"/>
        <w:spacing w:line="440" w:lineRule="exact"/>
        <w:widowControl/>
        <w:rPr>
          <w:rFonts w:ascii="宋体" w:hAnsi="宋体"/>
          <w:color w:val="auto"/>
          <w:sz w:val="22"/>
          <w:highlight w:val="none"/>
        </w:rPr>
      </w:pPr>
      <w:r>
        <w:rPr>
          <w:rFonts w:hint="eastAsia" w:ascii="宋体" w:hAnsi="宋体" w:cs="宋体"/>
          <w:color w:val="auto"/>
          <w:sz w:val="22"/>
          <w:highlight w:val="none"/>
        </w:rPr>
        <w:t xml:space="preserve">3.项目联系方式</w:t>
      </w:r>
      <w:r/>
    </w:p>
    <w:p>
      <w:pPr>
        <w:ind w:firstLine="480"/>
        <w:spacing w:line="440" w:lineRule="exact"/>
        <w:widowControl/>
        <w:rPr>
          <w:rFonts w:hint="eastAsia" w:ascii="宋体" w:hAnsi="宋体" w:eastAsia="宋体"/>
          <w:color w:val="auto"/>
          <w:sz w:val="22"/>
          <w:highlight w:val="none"/>
          <w:lang w:eastAsia="zh-CN"/>
        </w:rPr>
      </w:pPr>
      <w:r>
        <w:rPr>
          <w:rFonts w:hint="eastAsia" w:ascii="宋体" w:hAnsi="宋体"/>
          <w:color w:val="auto"/>
          <w:sz w:val="22"/>
          <w:highlight w:val="none"/>
        </w:rPr>
        <w:t xml:space="preserve">项目联系人：</w:t>
      </w:r>
      <w:r>
        <w:rPr>
          <w:rFonts w:hint="eastAsia" w:ascii="宋体" w:hAnsi="宋体"/>
          <w:color w:val="auto"/>
          <w:sz w:val="22"/>
          <w:highlight w:val="none"/>
          <w:lang w:eastAsia="zh-CN"/>
        </w:rPr>
        <w:t xml:space="preserve">王东</w:t>
      </w:r>
      <w:r/>
    </w:p>
    <w:p>
      <w:pPr>
        <w:ind w:firstLine="480"/>
        <w:spacing w:line="440" w:lineRule="exact"/>
        <w:widowControl/>
        <w:rPr>
          <w:rFonts w:ascii="宋体" w:hAnsi="宋体"/>
          <w:color w:val="auto"/>
          <w:sz w:val="22"/>
          <w:highlight w:val="none"/>
        </w:rPr>
      </w:pPr>
      <w:r>
        <w:rPr>
          <w:rFonts w:hint="eastAsia" w:ascii="宋体" w:hAnsi="宋体"/>
          <w:color w:val="auto"/>
          <w:sz w:val="22"/>
          <w:highlight w:val="none"/>
        </w:rPr>
        <w:t xml:space="preserve">电话：0511-86906230</w:t>
      </w:r>
      <w:r/>
    </w:p>
    <w:p>
      <w:pPr>
        <w:ind w:right="357"/>
        <w:jc w:val="left"/>
        <w:widowControl/>
        <w:rPr>
          <w:color w:val="auto"/>
          <w:sz w:val="20"/>
          <w:highlight w:val="none"/>
        </w:rPr>
      </w:pPr>
      <w:r/>
      <w:bookmarkStart w:id="15" w:name="EB73e9be25c0ef4b619196367b2047b8bc"/>
      <w:r>
        <w:rPr>
          <w:rFonts w:hint="eastAsia"/>
          <w:color w:val="auto"/>
          <w:sz w:val="20"/>
          <w:highlight w:val="none"/>
        </w:rPr>
        <w:t xml:space="preserve"> </w:t>
      </w:r>
      <w:bookmarkEnd w:id="15"/>
      <w:r/>
      <w:r/>
    </w:p>
    <w:p>
      <w:pPr>
        <w:rPr>
          <w:color w:val="auto"/>
          <w:sz w:val="20"/>
          <w:highlight w:val="none"/>
        </w:rPr>
      </w:pPr>
      <w:r>
        <w:rPr>
          <w:rFonts w:hint="eastAsia"/>
          <w:color w:val="auto"/>
          <w:sz w:val="20"/>
          <w:highlight w:val="none"/>
        </w:rPr>
        <w:br w:type="page" w:clear="all"/>
      </w:r>
      <w:r/>
    </w:p>
    <w:p>
      <w:pPr>
        <w:pStyle w:val="693"/>
        <w:rPr>
          <w:color w:val="auto"/>
          <w:highlight w:val="none"/>
        </w:rPr>
      </w:pPr>
      <w:r>
        <w:rPr>
          <w:color w:val="auto"/>
          <w:highlight w:val="none"/>
        </w:rPr>
      </w:r>
      <w:r/>
    </w:p>
    <w:p>
      <w:pPr>
        <w:pStyle w:val="842"/>
        <w:jc w:val="center"/>
        <w:spacing w:before="0" w:after="0" w:line="240" w:lineRule="auto"/>
        <w:rPr>
          <w:rFonts w:ascii="宋体" w:hAnsi="宋体"/>
          <w:color w:val="auto"/>
          <w:sz w:val="36"/>
          <w:highlight w:val="none"/>
        </w:rPr>
      </w:pPr>
      <w:r/>
      <w:bookmarkStart w:id="16" w:name="_Toc10"/>
      <w:r>
        <w:rPr>
          <w:rFonts w:hint="eastAsia" w:ascii="宋体" w:hAnsi="宋体"/>
          <w:color w:val="auto"/>
          <w:sz w:val="36"/>
          <w:highlight w:val="none"/>
        </w:rPr>
        <w:t xml:space="preserve">第二部分  供应商须知</w:t>
      </w:r>
      <w:bookmarkEnd w:id="16"/>
      <w:r/>
      <w:r/>
    </w:p>
    <w:p>
      <w:pPr>
        <w:rPr>
          <w:color w:val="auto"/>
          <w:highlight w:val="none"/>
        </w:rPr>
      </w:pPr>
      <w:r/>
      <w:bookmarkStart w:id="17" w:name="EBa296f577883c4f0bbc5440ff75db1386"/>
      <w:r>
        <w:rPr>
          <w:rFonts w:hint="eastAsia"/>
          <w:color w:val="auto"/>
          <w:sz w:val="20"/>
          <w:highlight w:val="none"/>
        </w:rPr>
        <w:t xml:space="preserve"> </w:t>
      </w:r>
      <w:bookmarkEnd w:id="17"/>
      <w:r/>
      <w:bookmarkStart w:id="18" w:name="EB5cd81c9ed9c74e6abb08406c193c2747"/>
      <w:r>
        <w:rPr>
          <w:rFonts w:hint="eastAsia"/>
          <w:color w:val="auto"/>
          <w:sz w:val="20"/>
          <w:highlight w:val="none"/>
        </w:rPr>
        <w:t xml:space="preserve"> </w:t>
      </w:r>
      <w:bookmarkEnd w:id="18"/>
      <w:r/>
      <w:r/>
    </w:p>
    <w:p>
      <w:pPr>
        <w:pStyle w:val="655"/>
        <w:jc w:val="center"/>
        <w:keepLines w:val="0"/>
        <w:keepNext w:val="0"/>
        <w:spacing w:before="0" w:after="0" w:line="360" w:lineRule="auto"/>
        <w:rPr>
          <w:rFonts w:ascii="宋体" w:hAnsi="宋体"/>
          <w:color w:val="auto"/>
          <w:highlight w:val="none"/>
        </w:rPr>
      </w:pPr>
      <w:r/>
      <w:bookmarkStart w:id="19" w:name="_Toc11"/>
      <w:r>
        <w:rPr>
          <w:rFonts w:hint="eastAsia" w:ascii="宋体" w:hAnsi="宋体" w:cs="楷体"/>
          <w:color w:val="auto"/>
          <w:szCs w:val="32"/>
          <w:highlight w:val="none"/>
        </w:rPr>
        <w:t xml:space="preserve">前附表</w:t>
      </w:r>
      <w:bookmarkEnd w:id="19"/>
      <w:r/>
      <w:r/>
    </w:p>
    <w:tbl>
      <w:tblPr>
        <w:tblStyle w:val="66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4"/>
        <w:gridCol w:w="692"/>
        <w:gridCol w:w="8544"/>
      </w:tblGrid>
      <w:tr>
        <w:trPr/>
        <w:tc>
          <w:tcPr>
            <w:tcW w:w="423" w:type="dxa"/>
            <w:vAlign w:val="center"/>
            <w:textDirection w:val="lrTb"/>
            <w:noWrap w:val="false"/>
          </w:tcPr>
          <w:p>
            <w:pPr>
              <w:pStyle w:val="853"/>
              <w:ind w:firstLine="0"/>
              <w:jc w:val="center"/>
              <w:rPr>
                <w:rFonts w:ascii="宋体" w:hAnsi="宋体" w:cs="楷体"/>
                <w:color w:val="auto"/>
                <w:sz w:val="24"/>
                <w:highlight w:val="none"/>
              </w:rPr>
            </w:pPr>
            <w:r>
              <w:rPr>
                <w:rFonts w:hint="eastAsia" w:ascii="宋体" w:hAnsi="宋体" w:cs="楷体"/>
                <w:color w:val="auto"/>
                <w:sz w:val="24"/>
                <w:highlight w:val="none"/>
              </w:rPr>
              <w:t xml:space="preserve">序号</w:t>
            </w:r>
            <w:r/>
          </w:p>
        </w:tc>
        <w:tc>
          <w:tcPr>
            <w:tcW w:w="1035" w:type="dxa"/>
            <w:vAlign w:val="center"/>
            <w:textDirection w:val="lrTb"/>
            <w:noWrap w:val="false"/>
          </w:tcPr>
          <w:p>
            <w:pPr>
              <w:pStyle w:val="853"/>
              <w:ind w:firstLine="0"/>
              <w:jc w:val="center"/>
              <w:rPr>
                <w:rFonts w:ascii="宋体" w:hAnsi="宋体" w:cs="楷体"/>
                <w:color w:val="auto"/>
                <w:sz w:val="24"/>
                <w:highlight w:val="none"/>
              </w:rPr>
            </w:pPr>
            <w:r>
              <w:rPr>
                <w:rFonts w:hint="eastAsia" w:ascii="宋体" w:hAnsi="宋体" w:cs="楷体"/>
                <w:color w:val="auto"/>
                <w:sz w:val="24"/>
                <w:highlight w:val="none"/>
              </w:rPr>
              <w:t xml:space="preserve">事项</w:t>
            </w:r>
            <w:r/>
          </w:p>
        </w:tc>
        <w:tc>
          <w:tcPr>
            <w:tcW w:w="3540" w:type="dxa"/>
            <w:vAlign w:val="center"/>
            <w:textDirection w:val="lrTb"/>
            <w:noWrap w:val="false"/>
          </w:tcPr>
          <w:p>
            <w:pPr>
              <w:pStyle w:val="853"/>
              <w:ind w:firstLine="0"/>
              <w:jc w:val="center"/>
              <w:rPr>
                <w:rFonts w:ascii="宋体" w:hAnsi="宋体" w:cs="楷体"/>
                <w:color w:val="auto"/>
                <w:sz w:val="24"/>
                <w:highlight w:val="none"/>
              </w:rPr>
            </w:pPr>
            <w:r>
              <w:rPr>
                <w:rFonts w:hint="eastAsia" w:ascii="宋体" w:hAnsi="宋体" w:cs="楷体"/>
                <w:color w:val="auto"/>
                <w:sz w:val="24"/>
                <w:highlight w:val="none"/>
              </w:rPr>
              <w:t xml:space="preserve">本项目规定</w:t>
            </w:r>
            <w:r/>
          </w:p>
        </w:tc>
      </w:tr>
      <w:tr>
        <w:trPr/>
        <w:tc>
          <w:tcPr>
            <w:tcW w:w="423" w:type="dxa"/>
            <w:vAlign w:val="center"/>
            <w:textDirection w:val="lrTb"/>
            <w:noWrap w:val="false"/>
          </w:tcPr>
          <w:p>
            <w:pPr>
              <w:pStyle w:val="853"/>
              <w:ind w:firstLine="0"/>
              <w:jc w:val="center"/>
              <w:rPr>
                <w:rFonts w:ascii="宋体" w:hAnsi="宋体" w:cs="楷体"/>
                <w:color w:val="auto"/>
                <w:sz w:val="24"/>
                <w:highlight w:val="none"/>
              </w:rPr>
            </w:pPr>
            <w:r>
              <w:rPr>
                <w:rFonts w:hint="eastAsia" w:ascii="宋体" w:hAnsi="宋体" w:cs="楷体"/>
                <w:color w:val="auto"/>
                <w:sz w:val="24"/>
                <w:highlight w:val="none"/>
              </w:rPr>
              <w:t xml:space="preserve">1</w:t>
            </w:r>
            <w:r/>
          </w:p>
        </w:tc>
        <w:tc>
          <w:tcPr>
            <w:tcW w:w="1035" w:type="dxa"/>
            <w:vAlign w:val="center"/>
            <w:textDirection w:val="lrTb"/>
            <w:noWrap w:val="false"/>
          </w:tcPr>
          <w:p>
            <w:pPr>
              <w:pStyle w:val="853"/>
              <w:ind w:firstLine="0"/>
              <w:jc w:val="center"/>
              <w:rPr>
                <w:rFonts w:ascii="宋体" w:hAnsi="宋体" w:cs="楷体"/>
                <w:color w:val="auto"/>
                <w:sz w:val="24"/>
                <w:highlight w:val="none"/>
              </w:rPr>
            </w:pPr>
            <w:r>
              <w:rPr>
                <w:rFonts w:hint="eastAsia" w:ascii="宋体" w:hAnsi="宋体" w:cs="楷体"/>
                <w:color w:val="auto"/>
                <w:sz w:val="24"/>
                <w:highlight w:val="none"/>
              </w:rPr>
              <w:t xml:space="preserve">报价要求</w:t>
            </w:r>
            <w:r/>
          </w:p>
        </w:tc>
        <w:tc>
          <w:tcPr>
            <w:tcW w:w="3540" w:type="dxa"/>
            <w:vAlign w:val="center"/>
            <w:textDirection w:val="lrTb"/>
            <w:noWrap w:val="false"/>
          </w:tcPr>
          <w:p>
            <w:pPr>
              <w:pStyle w:val="853"/>
              <w:ind w:firstLine="0"/>
              <w:rPr>
                <w:rFonts w:ascii="宋体" w:hAnsi="宋体" w:cs="楷体"/>
                <w:color w:val="auto"/>
                <w:sz w:val="24"/>
                <w:highlight w:val="none"/>
              </w:rPr>
            </w:pPr>
            <w:r>
              <w:rPr>
                <w:rFonts w:hint="eastAsia" w:ascii="宋体" w:hAnsi="宋体" w:cs="楷体"/>
                <w:color w:val="auto"/>
                <w:sz w:val="24"/>
                <w:highlight w:val="none"/>
              </w:rPr>
              <w:t xml:space="preserve">本次投标报价的币种为人民币。</w:t>
            </w:r>
            <w:r/>
          </w:p>
          <w:p>
            <w:pPr>
              <w:pStyle w:val="853"/>
              <w:ind w:firstLine="0"/>
              <w:rPr>
                <w:rFonts w:ascii="宋体" w:hAnsi="宋体" w:cs="楷体"/>
                <w:color w:val="auto"/>
                <w:sz w:val="24"/>
                <w:highlight w:val="none"/>
              </w:rPr>
            </w:pPr>
            <w:r>
              <w:rPr>
                <w:rFonts w:hint="eastAsia" w:ascii="宋体" w:hAnsi="宋体" w:cs="楷体"/>
                <w:color w:val="auto"/>
                <w:sz w:val="24"/>
                <w:highlight w:val="none"/>
              </w:rPr>
              <w:t xml:space="preserve">供应商应按磋商文件所提供的各报价表格式报价。</w:t>
            </w:r>
            <w:r/>
          </w:p>
          <w:p>
            <w:pPr>
              <w:pStyle w:val="853"/>
              <w:ind w:firstLine="0"/>
              <w:rPr>
                <w:rFonts w:ascii="宋体" w:hAnsi="宋体" w:cs="楷体"/>
                <w:color w:val="auto"/>
                <w:sz w:val="24"/>
                <w:highlight w:val="none"/>
              </w:rPr>
            </w:pPr>
            <w:r>
              <w:rPr>
                <w:rFonts w:hint="eastAsia" w:ascii="宋体" w:hAnsi="宋体" w:cs="楷体"/>
                <w:color w:val="auto"/>
                <w:sz w:val="24"/>
                <w:highlight w:val="none"/>
              </w:rPr>
              <w:t xml:space="preserve">供应商应对本项目报出最具有竞争力的价格，应包括本次磋商要求提供的货物（服务）已支付或将支付的所有费用（含税费）。</w:t>
            </w:r>
            <w:r/>
          </w:p>
          <w:p>
            <w:pPr>
              <w:pStyle w:val="853"/>
              <w:ind w:firstLine="0"/>
              <w:rPr>
                <w:rFonts w:ascii="宋体" w:hAnsi="宋体" w:cs="楷体"/>
                <w:color w:val="auto"/>
                <w:sz w:val="24"/>
                <w:highlight w:val="none"/>
              </w:rPr>
            </w:pPr>
            <w:r>
              <w:rPr>
                <w:rFonts w:hint="eastAsia" w:ascii="宋体" w:hAnsi="宋体" w:cs="楷体"/>
                <w:color w:val="auto"/>
                <w:sz w:val="24"/>
                <w:highlight w:val="none"/>
              </w:rPr>
              <w:t xml:space="preserve">最低投标报价不能作为中标的保证。</w:t>
            </w:r>
            <w:r/>
          </w:p>
          <w:p>
            <w:pPr>
              <w:pStyle w:val="853"/>
              <w:ind w:firstLine="0"/>
              <w:rPr>
                <w:rFonts w:ascii="宋体" w:hAnsi="宋体" w:cs="楷体"/>
                <w:color w:val="auto"/>
                <w:sz w:val="24"/>
                <w:highlight w:val="none"/>
              </w:rPr>
            </w:pPr>
            <w:r>
              <w:rPr>
                <w:rFonts w:hint="eastAsia" w:ascii="宋体" w:hAnsi="宋体" w:cs="楷体"/>
                <w:color w:val="auto"/>
                <w:sz w:val="24"/>
                <w:highlight w:val="none"/>
              </w:rPr>
              <w:t xml:space="preserve">中标价即为合同签约价。</w:t>
            </w:r>
            <w:r/>
          </w:p>
          <w:p>
            <w:pPr>
              <w:pStyle w:val="853"/>
              <w:ind w:firstLine="0"/>
              <w:rPr>
                <w:rFonts w:ascii="宋体" w:hAnsi="宋体" w:cs="楷体"/>
                <w:color w:val="auto"/>
                <w:sz w:val="24"/>
                <w:highlight w:val="none"/>
              </w:rPr>
            </w:pPr>
            <w:r>
              <w:rPr>
                <w:rFonts w:hint="eastAsia" w:ascii="宋体" w:hAnsi="宋体" w:cs="楷体"/>
                <w:color w:val="auto"/>
                <w:sz w:val="24"/>
                <w:highlight w:val="none"/>
              </w:rPr>
              <w:t xml:space="preserve">如出现报价前后不一致的，将按磋商文件第五部分“磋商及评审”第5项规定进行修正。</w:t>
            </w:r>
            <w:r/>
          </w:p>
          <w:p>
            <w:pPr>
              <w:pStyle w:val="853"/>
              <w:ind w:firstLine="0"/>
              <w:rPr>
                <w:rFonts w:ascii="宋体" w:hAnsi="宋体" w:cs="楷体"/>
                <w:color w:val="auto"/>
                <w:sz w:val="24"/>
                <w:highlight w:val="none"/>
              </w:rPr>
            </w:pPr>
            <w:r>
              <w:rPr>
                <w:rFonts w:ascii="宋体" w:hAnsi="宋体" w:cs="楷体"/>
                <w:color w:val="auto"/>
                <w:sz w:val="24"/>
                <w:highlight w:val="none"/>
              </w:rPr>
            </w:r>
            <w:r/>
          </w:p>
        </w:tc>
      </w:tr>
      <w:tr>
        <w:trPr>
          <w:trHeight w:val="1366"/>
        </w:trPr>
        <w:tc>
          <w:tcPr>
            <w:tcW w:w="423" w:type="dxa"/>
            <w:vAlign w:val="center"/>
            <w:textDirection w:val="lrTb"/>
            <w:noWrap w:val="false"/>
          </w:tcPr>
          <w:p>
            <w:pPr>
              <w:pStyle w:val="853"/>
              <w:ind w:firstLine="0"/>
              <w:jc w:val="center"/>
              <w:rPr>
                <w:rFonts w:ascii="宋体" w:hAnsi="宋体" w:cs="楷体"/>
                <w:color w:val="auto"/>
                <w:sz w:val="24"/>
                <w:highlight w:val="none"/>
              </w:rPr>
            </w:pPr>
            <w:r>
              <w:rPr>
                <w:rFonts w:hint="eastAsia" w:ascii="宋体" w:hAnsi="宋体" w:cs="楷体"/>
                <w:color w:val="auto"/>
                <w:sz w:val="24"/>
                <w:highlight w:val="none"/>
              </w:rPr>
              <w:t xml:space="preserve">2</w:t>
            </w:r>
            <w:r/>
          </w:p>
        </w:tc>
        <w:tc>
          <w:tcPr>
            <w:tcW w:w="1035" w:type="dxa"/>
            <w:vAlign w:val="center"/>
            <w:textDirection w:val="lrTb"/>
            <w:noWrap w:val="false"/>
          </w:tcPr>
          <w:p>
            <w:pPr>
              <w:pStyle w:val="853"/>
              <w:ind w:firstLine="0"/>
              <w:jc w:val="center"/>
              <w:rPr>
                <w:rFonts w:ascii="宋体" w:hAnsi="宋体" w:cs="楷体"/>
                <w:color w:val="auto"/>
                <w:sz w:val="24"/>
                <w:highlight w:val="none"/>
              </w:rPr>
            </w:pPr>
            <w:r>
              <w:rPr>
                <w:rFonts w:hint="eastAsia" w:ascii="宋体" w:hAnsi="宋体" w:cs="楷体"/>
                <w:color w:val="auto"/>
                <w:sz w:val="24"/>
                <w:highlight w:val="none"/>
              </w:rPr>
              <w:t xml:space="preserve">转包及分包</w:t>
            </w:r>
            <w:r/>
          </w:p>
        </w:tc>
        <w:tc>
          <w:tcPr>
            <w:tcW w:w="3540" w:type="dxa"/>
            <w:vAlign w:val="center"/>
            <w:textDirection w:val="lrTb"/>
            <w:noWrap w:val="false"/>
          </w:tcPr>
          <w:p>
            <w:pPr>
              <w:pStyle w:val="853"/>
              <w:ind w:firstLine="0"/>
              <w:rPr>
                <w:rFonts w:ascii="宋体" w:hAnsi="宋体" w:cs="楷体"/>
                <w:color w:val="auto"/>
                <w:sz w:val="24"/>
                <w:highlight w:val="none"/>
              </w:rPr>
            </w:pPr>
            <w:r>
              <w:rPr>
                <w:rFonts w:hint="eastAsia" w:ascii="宋体" w:hAnsi="宋体" w:cs="楷体"/>
                <w:color w:val="auto"/>
                <w:sz w:val="24"/>
                <w:highlight w:val="none"/>
              </w:rPr>
              <w:t xml:space="preserve">项目依法不得转包</w:t>
            </w:r>
            <w:r/>
          </w:p>
          <w:p>
            <w:pPr>
              <w:pStyle w:val="853"/>
              <w:ind w:firstLine="0"/>
              <w:rPr>
                <w:rFonts w:ascii="宋体" w:hAnsi="宋体" w:cs="楷体"/>
                <w:color w:val="auto"/>
                <w:sz w:val="24"/>
                <w:highlight w:val="none"/>
              </w:rPr>
            </w:pPr>
            <w:r>
              <w:rPr>
                <w:rFonts w:hint="eastAsia" w:ascii="宋体" w:hAnsi="宋体" w:cs="楷体"/>
                <w:color w:val="auto"/>
                <w:sz w:val="24"/>
                <w:highlight w:val="none"/>
              </w:rPr>
              <w:t xml:space="preserve">☑本项目不同意分包。</w:t>
            </w:r>
            <w:r/>
          </w:p>
          <w:p>
            <w:pPr>
              <w:pStyle w:val="853"/>
              <w:ind w:firstLine="0"/>
              <w:rPr>
                <w:rFonts w:ascii="宋体" w:hAnsi="宋体" w:cs="楷体"/>
                <w:color w:val="auto"/>
                <w:sz w:val="24"/>
                <w:highlight w:val="none"/>
              </w:rPr>
            </w:pPr>
            <w:r>
              <w:rPr>
                <w:rFonts w:hint="eastAsia" w:ascii="宋体" w:hAnsi="宋体" w:cs="楷体"/>
                <w:color w:val="auto"/>
                <w:sz w:val="24"/>
                <w:highlight w:val="none"/>
              </w:rPr>
              <w:t xml:space="preserve">□同意将非主体、非关键性的工作分包。供应商应当在磋商响应文件中载明分包承担主体，分包承担主体应当具备相应资质条件且不得再次分包。</w:t>
            </w:r>
            <w:r>
              <w:rPr>
                <w:rFonts w:hint="eastAsia" w:ascii="宋体" w:hAnsi="宋体" w:cs="楷体"/>
                <w:color w:val="auto"/>
                <w:sz w:val="24"/>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cs="楷体"/>
                <w:color w:val="auto"/>
                <w:sz w:val="24"/>
                <w:highlight w:val="none"/>
              </w:rPr>
              <w:t xml:space="preserve">（</w:t>
            </w:r>
            <w:r>
              <w:rPr>
                <w:rFonts w:hint="eastAsia" w:ascii="宋体" w:hAnsi="宋体" w:cs="楷体"/>
                <w:i/>
                <w:iCs/>
                <w:color w:val="auto"/>
                <w:sz w:val="24"/>
                <w:highlight w:val="none"/>
                <w:u w:val="single"/>
              </w:rPr>
              <w:t xml:space="preserve">提醒：采购人允许采用分包方式履行合同的，应当在磋商文件中明确可以分包履行的具体内容、金额或者比例，分包承担主体所需要具有的资质。</w:t>
            </w:r>
            <w:r>
              <w:rPr>
                <w:rFonts w:hint="eastAsia" w:ascii="宋体" w:hAnsi="宋体" w:cs="楷体"/>
                <w:color w:val="auto"/>
                <w:sz w:val="24"/>
                <w:highlight w:val="none"/>
              </w:rPr>
              <w:t xml:space="preserve">）</w:t>
            </w:r>
            <w:r/>
          </w:p>
          <w:p>
            <w:pPr>
              <w:pStyle w:val="853"/>
              <w:ind w:firstLine="0"/>
              <w:rPr>
                <w:rFonts w:ascii="宋体" w:hAnsi="宋体" w:cs="楷体"/>
                <w:color w:val="auto"/>
                <w:sz w:val="24"/>
                <w:highlight w:val="none"/>
              </w:rPr>
            </w:pPr>
            <w:r>
              <w:rPr>
                <w:rFonts w:ascii="宋体" w:hAnsi="宋体" w:cs="楷体"/>
                <w:color w:val="auto"/>
                <w:sz w:val="24"/>
                <w:highlight w:val="none"/>
              </w:rPr>
            </w:r>
            <w:r/>
          </w:p>
        </w:tc>
      </w:tr>
      <w:tr>
        <w:trPr>
          <w:trHeight w:val="1366"/>
        </w:trPr>
        <w:tc>
          <w:tcPr>
            <w:tcW w:w="423" w:type="dxa"/>
            <w:vAlign w:val="center"/>
            <w:textDirection w:val="lrTb"/>
            <w:noWrap w:val="false"/>
          </w:tcPr>
          <w:p>
            <w:pPr>
              <w:pStyle w:val="853"/>
              <w:ind w:firstLine="0"/>
              <w:jc w:val="center"/>
              <w:rPr>
                <w:rFonts w:ascii="宋体" w:hAnsi="宋体" w:cs="楷体"/>
                <w:color w:val="auto"/>
                <w:sz w:val="24"/>
                <w:highlight w:val="none"/>
              </w:rPr>
            </w:pPr>
            <w:r>
              <w:rPr>
                <w:rFonts w:hint="eastAsia" w:ascii="宋体" w:hAnsi="宋体" w:cs="楷体"/>
                <w:color w:val="auto"/>
                <w:sz w:val="24"/>
                <w:highlight w:val="none"/>
              </w:rPr>
              <w:t xml:space="preserve">3</w:t>
            </w:r>
            <w:r/>
          </w:p>
        </w:tc>
        <w:tc>
          <w:tcPr>
            <w:tcW w:w="1035" w:type="dxa"/>
            <w:vAlign w:val="center"/>
            <w:textDirection w:val="lrTb"/>
            <w:noWrap w:val="false"/>
          </w:tcPr>
          <w:p>
            <w:pPr>
              <w:pStyle w:val="853"/>
              <w:ind w:firstLine="0"/>
              <w:jc w:val="center"/>
              <w:rPr>
                <w:rFonts w:ascii="宋体" w:hAnsi="宋体" w:cs="楷体"/>
                <w:color w:val="auto"/>
                <w:sz w:val="24"/>
                <w:highlight w:val="none"/>
              </w:rPr>
            </w:pPr>
            <w:r>
              <w:rPr>
                <w:rFonts w:hint="eastAsia" w:ascii="宋体" w:hAnsi="宋体" w:cs="楷体"/>
                <w:color w:val="auto"/>
                <w:sz w:val="24"/>
                <w:highlight w:val="none"/>
              </w:rPr>
              <w:t xml:space="preserve">开标前答疑会</w:t>
            </w:r>
            <w:r/>
          </w:p>
        </w:tc>
        <w:tc>
          <w:tcPr>
            <w:tcW w:w="3540" w:type="dxa"/>
            <w:vAlign w:val="center"/>
            <w:textDirection w:val="lrTb"/>
            <w:noWrap w:val="false"/>
          </w:tcPr>
          <w:p>
            <w:pPr>
              <w:pStyle w:val="853"/>
              <w:ind w:firstLine="0"/>
              <w:rPr>
                <w:rFonts w:ascii="宋体" w:hAnsi="宋体" w:cs="楷体"/>
                <w:color w:val="auto"/>
                <w:sz w:val="24"/>
                <w:highlight w:val="none"/>
              </w:rPr>
            </w:pPr>
            <w:r>
              <w:rPr>
                <w:rFonts w:hint="eastAsia" w:ascii="宋体" w:hAnsi="宋体" w:cs="楷体"/>
                <w:color w:val="auto"/>
                <w:sz w:val="24"/>
                <w:highlight w:val="none"/>
              </w:rPr>
              <w:t xml:space="preserve">☑不组织</w:t>
            </w:r>
            <w:r/>
          </w:p>
          <w:p>
            <w:pPr>
              <w:pStyle w:val="853"/>
              <w:ind w:firstLine="0"/>
              <w:rPr>
                <w:rFonts w:ascii="宋体" w:hAnsi="宋体" w:cs="楷体"/>
                <w:color w:val="auto"/>
                <w:sz w:val="24"/>
                <w:highlight w:val="none"/>
              </w:rPr>
            </w:pPr>
            <w:r>
              <w:rPr>
                <w:rFonts w:hint="eastAsia" w:ascii="宋体" w:hAnsi="宋体" w:cs="楷体"/>
                <w:color w:val="auto"/>
                <w:sz w:val="24"/>
                <w:highlight w:val="none"/>
              </w:rPr>
              <w:t xml:space="preserve">□组织</w:t>
            </w:r>
            <w:r/>
          </w:p>
          <w:p>
            <w:pPr>
              <w:pStyle w:val="853"/>
              <w:ind w:firstLine="0"/>
              <w:rPr>
                <w:rFonts w:ascii="宋体" w:hAnsi="宋体" w:cs="楷体"/>
                <w:color w:val="auto"/>
                <w:sz w:val="24"/>
                <w:highlight w:val="none"/>
                <w:u w:val="single"/>
              </w:rPr>
            </w:pPr>
            <w:r>
              <w:rPr>
                <w:rFonts w:hint="eastAsia" w:ascii="宋体" w:hAnsi="宋体" w:cs="楷体"/>
                <w:color w:val="auto"/>
                <w:sz w:val="24"/>
                <w:highlight w:val="none"/>
              </w:rPr>
              <w:t xml:space="preserve">时间：</w:t>
            </w:r>
            <w:r/>
          </w:p>
          <w:p>
            <w:pPr>
              <w:spacing w:line="360" w:lineRule="auto"/>
              <w:rPr>
                <w:rFonts w:ascii="宋体" w:hAnsi="宋体" w:cs="楷体"/>
                <w:color w:val="auto"/>
                <w:sz w:val="24"/>
                <w:highlight w:val="none"/>
              </w:rPr>
            </w:pPr>
            <w:r>
              <w:rPr>
                <w:rFonts w:hint="eastAsia" w:ascii="宋体" w:hAnsi="宋体" w:cs="楷体"/>
                <w:color w:val="auto"/>
                <w:sz w:val="24"/>
                <w:highlight w:val="none"/>
              </w:rPr>
              <w:t xml:space="preserve">地点：</w:t>
            </w:r>
            <w:r/>
          </w:p>
          <w:p>
            <w:pPr>
              <w:pStyle w:val="853"/>
              <w:ind w:firstLine="0"/>
              <w:rPr>
                <w:rFonts w:ascii="宋体" w:hAnsi="宋体" w:cs="楷体"/>
                <w:color w:val="auto"/>
                <w:sz w:val="24"/>
                <w:highlight w:val="none"/>
              </w:rPr>
            </w:pPr>
            <w:r>
              <w:rPr>
                <w:rFonts w:hint="eastAsia" w:ascii="宋体" w:hAnsi="宋体" w:cs="楷体"/>
                <w:color w:val="auto"/>
                <w:sz w:val="24"/>
                <w:highlight w:val="none"/>
              </w:rPr>
              <w:t xml:space="preserve">联系人：联系方式：</w:t>
            </w:r>
            <w:r/>
          </w:p>
          <w:p>
            <w:pPr>
              <w:pStyle w:val="853"/>
              <w:ind w:firstLine="0"/>
              <w:rPr>
                <w:rFonts w:ascii="宋体" w:hAnsi="宋体" w:cs="楷体"/>
                <w:b/>
                <w:color w:val="auto"/>
                <w:sz w:val="24"/>
                <w:highlight w:val="none"/>
              </w:rPr>
            </w:pPr>
            <w:r>
              <w:rPr>
                <w:rFonts w:ascii="宋体" w:hAnsi="宋体" w:cs="楷体"/>
                <w:b/>
                <w:color w:val="auto"/>
                <w:sz w:val="24"/>
                <w:highlight w:val="none"/>
              </w:rPr>
            </w:r>
            <w:r/>
          </w:p>
        </w:tc>
      </w:tr>
      <w:tr>
        <w:trPr>
          <w:trHeight w:val="1366"/>
        </w:trPr>
        <w:tc>
          <w:tcPr>
            <w:tcW w:w="423" w:type="dxa"/>
            <w:vAlign w:val="center"/>
            <w:textDirection w:val="lrTb"/>
            <w:noWrap w:val="false"/>
          </w:tcPr>
          <w:p>
            <w:pPr>
              <w:pStyle w:val="853"/>
              <w:ind w:firstLine="0"/>
              <w:jc w:val="center"/>
              <w:rPr>
                <w:rFonts w:ascii="宋体" w:hAnsi="宋体" w:cs="楷体"/>
                <w:color w:val="auto"/>
                <w:sz w:val="24"/>
                <w:highlight w:val="none"/>
              </w:rPr>
            </w:pPr>
            <w:r>
              <w:rPr>
                <w:rFonts w:hint="eastAsia" w:ascii="宋体" w:hAnsi="宋体" w:cs="楷体"/>
                <w:color w:val="auto"/>
                <w:sz w:val="24"/>
                <w:highlight w:val="none"/>
              </w:rPr>
              <w:t xml:space="preserve">4</w:t>
            </w:r>
            <w:r/>
          </w:p>
        </w:tc>
        <w:tc>
          <w:tcPr>
            <w:tcW w:w="1035" w:type="dxa"/>
            <w:vAlign w:val="center"/>
            <w:textDirection w:val="lrTb"/>
            <w:noWrap w:val="false"/>
          </w:tcPr>
          <w:p>
            <w:pPr>
              <w:pStyle w:val="853"/>
              <w:ind w:firstLine="0"/>
              <w:jc w:val="center"/>
              <w:rPr>
                <w:rFonts w:ascii="宋体" w:hAnsi="宋体" w:cs="楷体"/>
                <w:color w:val="auto"/>
                <w:sz w:val="24"/>
                <w:highlight w:val="none"/>
              </w:rPr>
            </w:pPr>
            <w:r>
              <w:rPr>
                <w:rFonts w:hint="eastAsia" w:ascii="宋体" w:hAnsi="宋体" w:cs="楷体"/>
                <w:color w:val="auto"/>
                <w:sz w:val="24"/>
                <w:highlight w:val="none"/>
              </w:rPr>
              <w:t xml:space="preserve">现场踏勘</w:t>
            </w:r>
            <w:r/>
          </w:p>
        </w:tc>
        <w:tc>
          <w:tcPr>
            <w:tcW w:w="3540" w:type="dxa"/>
            <w:vAlign w:val="center"/>
            <w:textDirection w:val="lrTb"/>
            <w:noWrap w:val="false"/>
          </w:tcPr>
          <w:p>
            <w:pPr>
              <w:pStyle w:val="853"/>
              <w:ind w:firstLine="0"/>
              <w:rPr>
                <w:rFonts w:ascii="宋体" w:hAnsi="宋体" w:cs="楷体"/>
                <w:color w:val="auto"/>
                <w:sz w:val="24"/>
                <w:highlight w:val="none"/>
              </w:rPr>
            </w:pPr>
            <w:r>
              <w:rPr>
                <w:rFonts w:hint="eastAsia" w:ascii="宋体" w:hAnsi="宋体" w:cs="楷体"/>
                <w:color w:val="auto"/>
                <w:sz w:val="24"/>
                <w:highlight w:val="none"/>
              </w:rPr>
              <w:t xml:space="preserve">☑不统一组织</w:t>
            </w:r>
            <w:r/>
          </w:p>
          <w:p>
            <w:pPr>
              <w:pStyle w:val="853"/>
              <w:ind w:firstLine="0"/>
              <w:rPr>
                <w:rFonts w:ascii="宋体" w:hAnsi="宋体" w:cs="楷体"/>
                <w:color w:val="auto"/>
                <w:sz w:val="24"/>
                <w:highlight w:val="none"/>
              </w:rPr>
            </w:pPr>
            <w:r>
              <w:rPr>
                <w:rFonts w:hint="eastAsia" w:ascii="宋体" w:hAnsi="宋体" w:cs="楷体"/>
                <w:color w:val="auto"/>
                <w:sz w:val="24"/>
                <w:highlight w:val="none"/>
              </w:rPr>
              <w:t xml:space="preserve">□统一组织</w:t>
            </w:r>
            <w:r/>
          </w:p>
          <w:p>
            <w:pPr>
              <w:pStyle w:val="853"/>
              <w:ind w:firstLine="0"/>
              <w:rPr>
                <w:rFonts w:ascii="宋体" w:hAnsi="宋体" w:cs="楷体"/>
                <w:color w:val="auto"/>
                <w:sz w:val="24"/>
                <w:highlight w:val="none"/>
                <w:u w:val="single"/>
              </w:rPr>
            </w:pPr>
            <w:r>
              <w:rPr>
                <w:rFonts w:hint="eastAsia" w:ascii="宋体" w:hAnsi="宋体" w:cs="楷体"/>
                <w:color w:val="auto"/>
                <w:sz w:val="24"/>
                <w:highlight w:val="none"/>
              </w:rPr>
              <w:t xml:space="preserve">时间：</w:t>
            </w:r>
            <w:r/>
          </w:p>
          <w:p>
            <w:pPr>
              <w:spacing w:line="360" w:lineRule="auto"/>
              <w:rPr>
                <w:rFonts w:ascii="宋体" w:hAnsi="宋体" w:cs="楷体"/>
                <w:color w:val="auto"/>
                <w:sz w:val="24"/>
                <w:highlight w:val="none"/>
              </w:rPr>
            </w:pPr>
            <w:r>
              <w:rPr>
                <w:rFonts w:hint="eastAsia" w:ascii="宋体" w:hAnsi="宋体" w:cs="楷体"/>
                <w:color w:val="auto"/>
                <w:sz w:val="24"/>
                <w:highlight w:val="none"/>
              </w:rPr>
              <w:t xml:space="preserve">地点：</w:t>
            </w:r>
            <w:r/>
          </w:p>
          <w:p>
            <w:pPr>
              <w:spacing w:line="360" w:lineRule="auto"/>
              <w:rPr>
                <w:rFonts w:ascii="宋体" w:hAnsi="宋体" w:cs="楷体"/>
                <w:color w:val="auto"/>
                <w:sz w:val="24"/>
                <w:highlight w:val="none"/>
              </w:rPr>
            </w:pPr>
            <w:r>
              <w:rPr>
                <w:rFonts w:hint="eastAsia" w:ascii="宋体" w:hAnsi="宋体" w:cs="楷体"/>
                <w:color w:val="auto"/>
                <w:sz w:val="24"/>
                <w:highlight w:val="none"/>
              </w:rPr>
              <w:t xml:space="preserve">联系人：  联系方式：</w:t>
            </w:r>
            <w:r/>
          </w:p>
          <w:p>
            <w:pPr>
              <w:pStyle w:val="853"/>
              <w:ind w:firstLine="0"/>
              <w:rPr>
                <w:rFonts w:ascii="宋体" w:hAnsi="宋体" w:cs="楷体"/>
                <w:color w:val="auto"/>
                <w:sz w:val="24"/>
                <w:highlight w:val="none"/>
              </w:rPr>
            </w:pPr>
            <w:r>
              <w:rPr>
                <w:rFonts w:ascii="宋体" w:hAnsi="宋体" w:cs="楷体"/>
                <w:color w:val="auto"/>
                <w:sz w:val="24"/>
                <w:highlight w:val="none"/>
              </w:rPr>
            </w:r>
            <w:r/>
          </w:p>
        </w:tc>
      </w:tr>
      <w:tr>
        <w:trPr>
          <w:trHeight w:val="1366"/>
        </w:trPr>
        <w:tc>
          <w:tcPr>
            <w:tcW w:w="423" w:type="dxa"/>
            <w:vAlign w:val="center"/>
            <w:textDirection w:val="lrTb"/>
            <w:noWrap w:val="false"/>
          </w:tcPr>
          <w:p>
            <w:pPr>
              <w:pStyle w:val="853"/>
              <w:ind w:firstLine="0"/>
              <w:jc w:val="center"/>
              <w:rPr>
                <w:rFonts w:ascii="宋体" w:hAnsi="宋体" w:cs="楷体"/>
                <w:color w:val="auto"/>
                <w:sz w:val="24"/>
                <w:highlight w:val="none"/>
              </w:rPr>
            </w:pPr>
            <w:r>
              <w:rPr>
                <w:rFonts w:hint="eastAsia" w:ascii="宋体" w:hAnsi="宋体" w:cs="楷体"/>
                <w:color w:val="auto"/>
                <w:sz w:val="24"/>
                <w:highlight w:val="none"/>
              </w:rPr>
              <w:t xml:space="preserve">5</w:t>
            </w:r>
            <w:r/>
          </w:p>
        </w:tc>
        <w:tc>
          <w:tcPr>
            <w:tcW w:w="1035" w:type="dxa"/>
            <w:vAlign w:val="center"/>
            <w:textDirection w:val="lrTb"/>
            <w:noWrap w:val="false"/>
          </w:tcPr>
          <w:p>
            <w:pPr>
              <w:pStyle w:val="853"/>
              <w:ind w:firstLine="0"/>
              <w:jc w:val="center"/>
              <w:rPr>
                <w:rFonts w:ascii="宋体" w:hAnsi="宋体" w:cs="楷体"/>
                <w:color w:val="auto"/>
                <w:sz w:val="24"/>
                <w:highlight w:val="none"/>
              </w:rPr>
            </w:pPr>
            <w:r>
              <w:rPr>
                <w:rFonts w:hint="eastAsia" w:ascii="宋体" w:hAnsi="宋体" w:cs="楷体"/>
                <w:color w:val="auto"/>
                <w:sz w:val="24"/>
                <w:highlight w:val="none"/>
              </w:rPr>
              <w:t xml:space="preserve">演示</w:t>
            </w:r>
            <w:r/>
          </w:p>
        </w:tc>
        <w:tc>
          <w:tcPr>
            <w:tcW w:w="3540" w:type="dxa"/>
            <w:vAlign w:val="center"/>
            <w:textDirection w:val="lrTb"/>
            <w:noWrap w:val="false"/>
          </w:tcPr>
          <w:p>
            <w:pPr>
              <w:pStyle w:val="853"/>
              <w:ind w:firstLine="0"/>
              <w:rPr>
                <w:rFonts w:ascii="宋体" w:hAnsi="宋体" w:cs="楷体"/>
                <w:color w:val="auto"/>
                <w:sz w:val="24"/>
                <w:highlight w:val="none"/>
              </w:rPr>
            </w:pPr>
            <w:r>
              <w:rPr>
                <w:rFonts w:hint="eastAsia" w:ascii="宋体" w:hAnsi="宋体" w:cs="楷体"/>
                <w:color w:val="auto"/>
                <w:sz w:val="24"/>
                <w:highlight w:val="none"/>
                <w:lang w:eastAsia="zh-CN"/>
              </w:rPr>
              <w:t xml:space="preserve">☑</w:t>
            </w:r>
            <w:r>
              <w:rPr>
                <w:rFonts w:hint="eastAsia" w:ascii="宋体" w:hAnsi="宋体" w:cs="楷体"/>
                <w:color w:val="auto"/>
                <w:sz w:val="24"/>
                <w:highlight w:val="none"/>
              </w:rPr>
              <w:t xml:space="preserve">无</w:t>
            </w:r>
            <w:r/>
          </w:p>
          <w:p>
            <w:pPr>
              <w:pStyle w:val="853"/>
              <w:ind w:firstLine="0"/>
              <w:rPr>
                <w:rFonts w:ascii="宋体" w:hAnsi="宋体" w:cs="楷体"/>
                <w:color w:val="auto"/>
                <w:sz w:val="24"/>
                <w:highlight w:val="none"/>
              </w:rPr>
            </w:pPr>
            <w:r>
              <w:rPr>
                <w:rFonts w:hint="eastAsia" w:ascii="宋体" w:hAnsi="宋体" w:cs="楷体"/>
                <w:color w:val="auto"/>
                <w:sz w:val="24"/>
                <w:highlight w:val="none"/>
                <w:lang w:eastAsia="zh-CN"/>
              </w:rPr>
              <w:t xml:space="preserve">□</w:t>
            </w:r>
            <w:r>
              <w:rPr>
                <w:rFonts w:hint="eastAsia" w:ascii="宋体" w:hAnsi="宋体" w:cs="楷体"/>
                <w:color w:val="auto"/>
                <w:sz w:val="24"/>
                <w:highlight w:val="none"/>
              </w:rPr>
              <w:t xml:space="preserve">有，本项目演示使用录播上传形式，各供应商自行将录播内容上传至“苏采云”系统的演示视频模块。操作指南详见http://www.ccgp-jiangsu.gov.cn/jiangsu/zlxz/ee/ee3a4bc5a3454aa2b0d9312230633ce9.html。</w:t>
            </w:r>
            <w:r>
              <w:rPr>
                <w:rFonts w:hint="eastAsia" w:ascii="宋体" w:hAnsi="宋体" w:cs="楷体"/>
                <w:b/>
                <w:bCs/>
                <w:color w:val="auto"/>
                <w:sz w:val="24"/>
                <w:highlight w:val="none"/>
                <w:u w:val="single"/>
              </w:rPr>
              <w:t xml:space="preserve">视频以压缩形式进行上传，单个视频上限50M，整体上限300M。</w:t>
            </w:r>
            <w:r/>
          </w:p>
        </w:tc>
      </w:tr>
      <w:tr>
        <w:trPr/>
        <w:tc>
          <w:tcPr>
            <w:tcW w:w="423" w:type="dxa"/>
            <w:vAlign w:val="center"/>
            <w:textDirection w:val="lrTb"/>
            <w:noWrap w:val="false"/>
          </w:tcPr>
          <w:p>
            <w:pPr>
              <w:pStyle w:val="853"/>
              <w:ind w:firstLine="0"/>
              <w:jc w:val="center"/>
              <w:rPr>
                <w:rFonts w:ascii="宋体" w:hAnsi="宋体" w:cs="楷体"/>
                <w:color w:val="auto"/>
                <w:sz w:val="24"/>
                <w:highlight w:val="none"/>
              </w:rPr>
            </w:pPr>
            <w:r>
              <w:rPr>
                <w:rFonts w:hint="eastAsia" w:ascii="宋体" w:hAnsi="宋体" w:cs="楷体"/>
                <w:color w:val="auto"/>
                <w:sz w:val="24"/>
                <w:highlight w:val="none"/>
              </w:rPr>
              <w:t xml:space="preserve">6</w:t>
            </w:r>
            <w:r/>
          </w:p>
        </w:tc>
        <w:tc>
          <w:tcPr>
            <w:tcW w:w="1035" w:type="dxa"/>
            <w:vAlign w:val="center"/>
            <w:textDirection w:val="lrTb"/>
            <w:noWrap w:val="false"/>
          </w:tcPr>
          <w:p>
            <w:pPr>
              <w:pStyle w:val="853"/>
              <w:ind w:firstLine="0"/>
              <w:jc w:val="center"/>
              <w:rPr>
                <w:rFonts w:ascii="宋体" w:hAnsi="宋体" w:cs="楷体"/>
                <w:color w:val="auto"/>
                <w:sz w:val="24"/>
                <w:highlight w:val="none"/>
              </w:rPr>
            </w:pPr>
            <w:r>
              <w:rPr>
                <w:rFonts w:hint="eastAsia" w:ascii="宋体" w:hAnsi="宋体" w:cs="楷体"/>
                <w:color w:val="auto"/>
                <w:sz w:val="24"/>
                <w:highlight w:val="none"/>
              </w:rPr>
              <w:t xml:space="preserve">样品</w:t>
            </w:r>
            <w:r/>
          </w:p>
        </w:tc>
        <w:tc>
          <w:tcPr>
            <w:tcW w:w="3540" w:type="dxa"/>
            <w:vAlign w:val="center"/>
            <w:textDirection w:val="lrTb"/>
            <w:noWrap w:val="false"/>
          </w:tcPr>
          <w:p>
            <w:pPr>
              <w:pStyle w:val="853"/>
              <w:ind w:firstLine="0"/>
              <w:rPr>
                <w:rFonts w:ascii="宋体" w:hAnsi="宋体" w:cs="楷体"/>
                <w:color w:val="auto"/>
                <w:sz w:val="24"/>
                <w:highlight w:val="none"/>
              </w:rPr>
            </w:pPr>
            <w:r>
              <w:rPr>
                <w:rFonts w:hint="eastAsia" w:ascii="宋体" w:hAnsi="宋体" w:cs="楷体"/>
                <w:color w:val="auto"/>
                <w:sz w:val="24"/>
                <w:highlight w:val="none"/>
              </w:rPr>
              <w:t xml:space="preserve">☑不要求提供。</w:t>
            </w:r>
            <w:r/>
          </w:p>
          <w:p>
            <w:pPr>
              <w:pStyle w:val="853"/>
              <w:ind w:firstLine="0"/>
              <w:rPr>
                <w:rFonts w:ascii="宋体" w:hAnsi="宋体" w:cs="楷体"/>
                <w:color w:val="auto"/>
                <w:sz w:val="24"/>
                <w:highlight w:val="none"/>
              </w:rPr>
            </w:pPr>
            <w:r>
              <w:rPr>
                <w:rFonts w:hint="eastAsia" w:ascii="宋体" w:hAnsi="宋体" w:cs="楷体"/>
                <w:color w:val="auto"/>
                <w:sz w:val="24"/>
                <w:highlight w:val="none"/>
              </w:rPr>
              <w:t xml:space="preserve">□要求提供（</w:t>
            </w:r>
            <w:r>
              <w:rPr>
                <w:rFonts w:hint="eastAsia" w:ascii="宋体" w:hAnsi="宋体" w:cs="楷体"/>
                <w:i/>
                <w:iCs/>
                <w:color w:val="auto"/>
                <w:sz w:val="24"/>
                <w:highlight w:val="none"/>
                <w:u w:val="single"/>
              </w:rPr>
              <w:t xml:space="preserve">提醒：除仅凭书面方式不能准确描述采购需求或者需要对样品进行主观判断以确认是否满足采购需求等特殊情况外，不得要求供应商提供样品。</w:t>
            </w:r>
            <w:r>
              <w:rPr>
                <w:rFonts w:hint="eastAsia" w:ascii="宋体" w:hAnsi="宋体" w:cs="楷体"/>
                <w:color w:val="auto"/>
                <w:sz w:val="24"/>
                <w:highlight w:val="none"/>
              </w:rPr>
              <w:t xml:space="preserve">）</w:t>
            </w:r>
            <w:r/>
          </w:p>
          <w:p>
            <w:pPr>
              <w:pStyle w:val="853"/>
              <w:ind w:firstLine="0"/>
              <w:rPr>
                <w:rFonts w:ascii="宋体" w:hAnsi="宋体" w:cs="楷体"/>
                <w:color w:val="auto"/>
                <w:sz w:val="24"/>
                <w:highlight w:val="none"/>
                <w:u w:val="single"/>
              </w:rPr>
            </w:pPr>
            <w:r>
              <w:rPr>
                <w:rFonts w:hint="eastAsia" w:ascii="宋体" w:hAnsi="宋体" w:cs="楷体"/>
                <w:color w:val="auto"/>
                <w:sz w:val="24"/>
                <w:highlight w:val="none"/>
              </w:rPr>
              <w:t xml:space="preserve">（1）样品：；</w:t>
            </w:r>
            <w:r/>
          </w:p>
          <w:p>
            <w:pPr>
              <w:pStyle w:val="853"/>
              <w:ind w:firstLine="0"/>
              <w:rPr>
                <w:rFonts w:ascii="宋体" w:hAnsi="宋体" w:cs="楷体"/>
                <w:color w:val="auto"/>
                <w:sz w:val="24"/>
                <w:highlight w:val="none"/>
                <w:u w:val="single"/>
              </w:rPr>
            </w:pPr>
            <w:r>
              <w:rPr>
                <w:rFonts w:hint="eastAsia" w:ascii="宋体" w:hAnsi="宋体" w:cs="楷体"/>
                <w:color w:val="auto"/>
                <w:sz w:val="24"/>
                <w:highlight w:val="none"/>
              </w:rPr>
              <w:t xml:space="preserve">（2）样品制作的标准和要求：；</w:t>
            </w:r>
            <w:r/>
          </w:p>
          <w:p>
            <w:pPr>
              <w:pStyle w:val="853"/>
              <w:ind w:firstLine="0"/>
              <w:rPr>
                <w:rFonts w:ascii="宋体" w:hAnsi="宋体" w:cs="楷体"/>
                <w:color w:val="auto"/>
                <w:sz w:val="24"/>
                <w:highlight w:val="none"/>
              </w:rPr>
            </w:pPr>
            <w:r>
              <w:rPr>
                <w:rFonts w:hint="eastAsia" w:ascii="宋体" w:hAnsi="宋体" w:cs="楷体"/>
                <w:color w:val="auto"/>
                <w:sz w:val="24"/>
                <w:highlight w:val="none"/>
              </w:rPr>
              <w:t xml:space="preserve">（3）样品的评审方法以及评审标准：详见评审办法；</w:t>
            </w:r>
            <w:r/>
          </w:p>
          <w:p>
            <w:pPr>
              <w:pStyle w:val="853"/>
              <w:ind w:firstLine="0"/>
              <w:rPr>
                <w:rFonts w:ascii="宋体" w:hAnsi="宋体" w:cs="楷体"/>
                <w:color w:val="auto"/>
                <w:sz w:val="24"/>
                <w:highlight w:val="none"/>
              </w:rPr>
            </w:pPr>
            <w:r>
              <w:rPr>
                <w:rFonts w:hint="eastAsia" w:ascii="宋体" w:hAnsi="宋体" w:cs="楷体"/>
                <w:color w:val="auto"/>
                <w:sz w:val="24"/>
                <w:highlight w:val="none"/>
              </w:rPr>
              <w:t xml:space="preserve">（4）是否需要随样品提交检测报告：□否；□是，检测机构的要求：；检测内容：。</w:t>
            </w:r>
            <w:r/>
          </w:p>
          <w:p>
            <w:pPr>
              <w:pStyle w:val="853"/>
              <w:ind w:firstLine="0"/>
              <w:rPr>
                <w:rFonts w:ascii="宋体" w:hAnsi="宋体" w:cs="楷体"/>
                <w:color w:val="auto"/>
                <w:sz w:val="24"/>
                <w:highlight w:val="none"/>
              </w:rPr>
            </w:pPr>
            <w:r>
              <w:rPr>
                <w:rFonts w:hint="eastAsia" w:ascii="宋体" w:hAnsi="宋体" w:cs="楷体"/>
                <w:color w:val="auto"/>
                <w:sz w:val="24"/>
                <w:highlight w:val="none"/>
              </w:rPr>
              <w:t xml:space="preserve">（5）提供样品的时间：；地点：；联系人：，联系电话： 。请供应商在上述时间内提供样品并按规定位置安装完毕。超过截止时间的，采购人或采购代理机构将不予接收及安装，并将清场并封闭样品现场。</w:t>
            </w:r>
            <w:r/>
          </w:p>
          <w:p>
            <w:pPr>
              <w:pStyle w:val="853"/>
              <w:ind w:firstLine="0"/>
              <w:rPr>
                <w:rFonts w:ascii="宋体" w:hAnsi="宋体" w:cs="楷体"/>
                <w:color w:val="auto"/>
                <w:sz w:val="24"/>
                <w:highlight w:val="none"/>
              </w:rPr>
            </w:pPr>
            <w:r>
              <w:rPr>
                <w:rFonts w:hint="eastAsia" w:ascii="宋体" w:hAnsi="宋体" w:cs="楷体"/>
                <w:color w:val="auto"/>
                <w:sz w:val="24"/>
                <w:highlight w:val="none"/>
              </w:rPr>
              <w:t xml:space="preserve"> (6)采购活动结束后，对于未中标供应商提供的样品，采购人、采购机构将通知未中标供应商在规定的时间内取回，逾期未取回的，采购人、采购机构不负保管义务；对于中标供应商提供的样品，采购人将进行保管、封存，并作为履约验收的参考。</w:t>
            </w:r>
            <w:r/>
          </w:p>
          <w:p>
            <w:pPr>
              <w:pStyle w:val="853"/>
              <w:ind w:firstLine="0"/>
              <w:rPr>
                <w:rFonts w:ascii="宋体" w:hAnsi="宋体" w:cs="楷体"/>
                <w:color w:val="auto"/>
                <w:sz w:val="24"/>
                <w:highlight w:val="none"/>
              </w:rPr>
            </w:pPr>
            <w:r>
              <w:rPr>
                <w:rFonts w:hint="eastAsia" w:ascii="宋体" w:hAnsi="宋体" w:cs="楷体"/>
                <w:color w:val="auto"/>
                <w:sz w:val="24"/>
                <w:highlight w:val="none"/>
              </w:rPr>
              <w:t xml:space="preserve">（7）制作、运输、安装和保管样品所发生的一切费用由供应商自理。</w:t>
            </w:r>
            <w:r/>
          </w:p>
          <w:p>
            <w:pPr>
              <w:pStyle w:val="853"/>
              <w:ind w:firstLine="0"/>
              <w:rPr>
                <w:rFonts w:ascii="宋体" w:hAnsi="宋体" w:cs="楷体"/>
                <w:color w:val="auto"/>
                <w:sz w:val="24"/>
                <w:highlight w:val="none"/>
              </w:rPr>
            </w:pPr>
            <w:r>
              <w:rPr>
                <w:rFonts w:ascii="宋体" w:hAnsi="宋体" w:cs="楷体"/>
                <w:color w:val="auto"/>
                <w:sz w:val="24"/>
                <w:highlight w:val="none"/>
              </w:rPr>
            </w:r>
            <w:r/>
          </w:p>
        </w:tc>
      </w:tr>
      <w:tr>
        <w:trPr/>
        <w:tc>
          <w:tcPr>
            <w:tcW w:w="423" w:type="dxa"/>
            <w:vAlign w:val="center"/>
            <w:textDirection w:val="lrTb"/>
            <w:noWrap w:val="false"/>
          </w:tcPr>
          <w:p>
            <w:pPr>
              <w:pStyle w:val="853"/>
              <w:ind w:firstLine="0"/>
              <w:jc w:val="center"/>
              <w:rPr>
                <w:rFonts w:ascii="宋体" w:hAnsi="宋体" w:cs="楷体"/>
                <w:color w:val="auto"/>
                <w:sz w:val="24"/>
                <w:highlight w:val="none"/>
              </w:rPr>
            </w:pPr>
            <w:r>
              <w:rPr>
                <w:rFonts w:hint="eastAsia" w:ascii="宋体" w:hAnsi="宋体" w:cs="楷体"/>
                <w:color w:val="auto"/>
                <w:sz w:val="24"/>
                <w:highlight w:val="none"/>
              </w:rPr>
              <w:t xml:space="preserve">7</w:t>
            </w:r>
            <w:r/>
          </w:p>
        </w:tc>
        <w:tc>
          <w:tcPr>
            <w:tcW w:w="1035" w:type="dxa"/>
            <w:vAlign w:val="center"/>
            <w:textDirection w:val="lrTb"/>
            <w:noWrap w:val="false"/>
          </w:tcPr>
          <w:p>
            <w:pPr>
              <w:pStyle w:val="853"/>
              <w:ind w:firstLine="0"/>
              <w:jc w:val="center"/>
              <w:rPr>
                <w:rFonts w:ascii="宋体" w:hAnsi="宋体" w:cs="楷体"/>
                <w:color w:val="auto"/>
                <w:sz w:val="24"/>
                <w:highlight w:val="none"/>
              </w:rPr>
            </w:pPr>
            <w:r>
              <w:rPr>
                <w:rFonts w:hint="eastAsia" w:ascii="宋体" w:hAnsi="宋体" w:cs="楷体"/>
                <w:color w:val="auto"/>
                <w:sz w:val="24"/>
                <w:highlight w:val="none"/>
              </w:rPr>
              <w:t xml:space="preserve">是否允许采购进口产品</w:t>
            </w:r>
            <w:r/>
          </w:p>
        </w:tc>
        <w:tc>
          <w:tcPr>
            <w:tcW w:w="3540" w:type="dxa"/>
            <w:vAlign w:val="center"/>
            <w:textDirection w:val="lrTb"/>
            <w:noWrap w:val="false"/>
          </w:tcPr>
          <w:p>
            <w:pPr>
              <w:pStyle w:val="853"/>
              <w:ind w:firstLine="0"/>
              <w:rPr>
                <w:rFonts w:ascii="宋体" w:hAnsi="宋体" w:cs="楷体"/>
                <w:color w:val="auto"/>
                <w:sz w:val="24"/>
                <w:highlight w:val="none"/>
              </w:rPr>
            </w:pPr>
            <w:r>
              <w:rPr>
                <w:rFonts w:hint="eastAsia" w:ascii="宋体" w:hAnsi="宋体" w:cs="楷体"/>
                <w:color w:val="auto"/>
                <w:sz w:val="24"/>
                <w:highlight w:val="none"/>
              </w:rPr>
              <w:t xml:space="preserve">☑本项目不允许采购进口产品。</w:t>
            </w:r>
            <w:r/>
          </w:p>
          <w:p>
            <w:pPr>
              <w:pStyle w:val="853"/>
              <w:ind w:firstLine="0"/>
              <w:rPr>
                <w:rFonts w:ascii="宋体" w:hAnsi="宋体" w:cs="楷体"/>
                <w:color w:val="auto"/>
                <w:sz w:val="24"/>
                <w:highlight w:val="none"/>
              </w:rPr>
            </w:pPr>
            <w:r>
              <w:rPr>
                <w:rFonts w:hint="eastAsia" w:ascii="宋体" w:hAnsi="宋体" w:cs="楷体"/>
                <w:color w:val="auto"/>
                <w:sz w:val="24"/>
                <w:highlight w:val="none"/>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dxa"/>
            <w:vAlign w:val="center"/>
            <w:textDirection w:val="lrTb"/>
            <w:noWrap w:val="false"/>
          </w:tcPr>
          <w:p>
            <w:pPr>
              <w:pStyle w:val="853"/>
              <w:ind w:firstLine="0"/>
              <w:jc w:val="center"/>
              <w:rPr>
                <w:rFonts w:ascii="宋体" w:hAnsi="宋体" w:cs="楷体"/>
                <w:color w:val="auto"/>
                <w:sz w:val="24"/>
                <w:highlight w:val="none"/>
              </w:rPr>
            </w:pPr>
            <w:r>
              <w:rPr>
                <w:rFonts w:hint="eastAsia" w:ascii="宋体" w:hAnsi="宋体" w:cs="楷体"/>
                <w:color w:val="auto"/>
                <w:sz w:val="24"/>
                <w:highlight w:val="none"/>
              </w:rPr>
              <w:t xml:space="preserve">8</w:t>
            </w:r>
            <w:r/>
          </w:p>
        </w:tc>
        <w:tc>
          <w:tcPr>
            <w:tcW w:w="1035" w:type="dxa"/>
            <w:vAlign w:val="center"/>
            <w:textDirection w:val="lrTb"/>
            <w:noWrap w:val="false"/>
          </w:tcPr>
          <w:p>
            <w:pPr>
              <w:pStyle w:val="853"/>
              <w:ind w:firstLine="0"/>
              <w:jc w:val="center"/>
              <w:rPr>
                <w:rFonts w:ascii="宋体" w:hAnsi="宋体" w:cs="楷体"/>
                <w:color w:val="auto"/>
                <w:sz w:val="24"/>
                <w:highlight w:val="none"/>
              </w:rPr>
            </w:pPr>
            <w:r>
              <w:rPr>
                <w:rFonts w:hint="eastAsia" w:ascii="宋体" w:hAnsi="宋体" w:cs="楷体"/>
                <w:color w:val="auto"/>
                <w:sz w:val="24"/>
                <w:highlight w:val="none"/>
              </w:rPr>
              <w:t xml:space="preserve">项目属性与核心产品</w:t>
            </w:r>
            <w:r/>
          </w:p>
        </w:tc>
        <w:tc>
          <w:tcPr>
            <w:tcW w:w="3540" w:type="dxa"/>
            <w:vAlign w:val="center"/>
            <w:textDirection w:val="lrTb"/>
            <w:noWrap w:val="false"/>
          </w:tcPr>
          <w:p>
            <w:pPr>
              <w:pStyle w:val="853"/>
              <w:ind w:firstLine="0"/>
              <w:rPr>
                <w:rFonts w:ascii="宋体" w:hAnsi="宋体" w:cs="楷体"/>
                <w:color w:val="auto"/>
                <w:sz w:val="24"/>
                <w:highlight w:val="none"/>
              </w:rPr>
            </w:pPr>
            <w:r>
              <w:rPr>
                <w:rFonts w:hint="eastAsia" w:ascii="宋体" w:hAnsi="宋体" w:cs="楷体"/>
                <w:color w:val="auto"/>
                <w:sz w:val="24"/>
                <w:highlight w:val="none"/>
              </w:rPr>
              <w:t xml:space="preserve">□货物类。</w:t>
            </w:r>
            <w:r/>
          </w:p>
          <w:p>
            <w:pPr>
              <w:pStyle w:val="853"/>
              <w:ind w:firstLine="0"/>
              <w:rPr>
                <w:rFonts w:ascii="宋体" w:hAnsi="宋体" w:cs="楷体"/>
                <w:color w:val="auto"/>
                <w:sz w:val="24"/>
                <w:highlight w:val="none"/>
              </w:rPr>
            </w:pPr>
            <w:r>
              <w:rPr>
                <w:rFonts w:hint="eastAsia" w:ascii="宋体" w:hAnsi="宋体" w:cs="楷体"/>
                <w:color w:val="auto"/>
                <w:sz w:val="24"/>
                <w:highlight w:val="none"/>
              </w:rPr>
              <w:t xml:space="preserve">☑服务类。</w:t>
            </w:r>
            <w:r/>
          </w:p>
          <w:p>
            <w:pPr>
              <w:pStyle w:val="853"/>
              <w:ind w:firstLine="0"/>
              <w:rPr>
                <w:rFonts w:ascii="宋体" w:hAnsi="宋体" w:cs="楷体"/>
                <w:color w:val="auto"/>
                <w:sz w:val="24"/>
                <w:highlight w:val="none"/>
              </w:rPr>
            </w:pPr>
            <w:r>
              <w:rPr>
                <w:rFonts w:hint="eastAsia" w:ascii="宋体" w:hAnsi="宋体" w:cs="楷体"/>
                <w:color w:val="auto"/>
                <w:sz w:val="24"/>
                <w:highlight w:val="none"/>
              </w:rPr>
              <w:t xml:space="preserve">本项目核心产品为：</w:t>
            </w:r>
            <w:r>
              <w:rPr>
                <w:rFonts w:hint="eastAsia" w:ascii="宋体" w:hAnsi="宋体" w:cs="楷体"/>
                <w:color w:val="auto"/>
                <w:sz w:val="24"/>
                <w:highlight w:val="none"/>
                <w:u w:val="single"/>
                <w:lang w:val="en-US" w:eastAsia="zh-CN"/>
              </w:rPr>
              <w:t xml:space="preserve">          </w:t>
            </w:r>
            <w:r/>
          </w:p>
        </w:tc>
      </w:tr>
      <w:tr>
        <w:trPr/>
        <w:tc>
          <w:tcPr>
            <w:tcW w:w="423" w:type="dxa"/>
            <w:vAlign w:val="center"/>
            <w:textDirection w:val="lrTb"/>
            <w:noWrap w:val="false"/>
          </w:tcPr>
          <w:p>
            <w:pPr>
              <w:pStyle w:val="853"/>
              <w:ind w:firstLine="0"/>
              <w:jc w:val="center"/>
              <w:rPr>
                <w:rFonts w:ascii="宋体" w:hAnsi="宋体" w:cs="楷体"/>
                <w:color w:val="auto"/>
                <w:sz w:val="24"/>
                <w:highlight w:val="none"/>
              </w:rPr>
            </w:pPr>
            <w:r>
              <w:rPr>
                <w:rFonts w:hint="eastAsia" w:ascii="宋体" w:hAnsi="宋体" w:cs="楷体"/>
                <w:color w:val="auto"/>
                <w:sz w:val="24"/>
                <w:highlight w:val="none"/>
              </w:rPr>
              <w:t xml:space="preserve">9</w:t>
            </w:r>
            <w:r/>
          </w:p>
        </w:tc>
        <w:tc>
          <w:tcPr>
            <w:tcW w:w="1035" w:type="dxa"/>
            <w:vAlign w:val="center"/>
            <w:textDirection w:val="lrTb"/>
            <w:noWrap w:val="false"/>
          </w:tcPr>
          <w:p>
            <w:pPr>
              <w:pStyle w:val="853"/>
              <w:ind w:firstLine="0"/>
              <w:jc w:val="center"/>
              <w:rPr>
                <w:rFonts w:ascii="宋体" w:hAnsi="宋体" w:cs="楷体"/>
                <w:color w:val="auto"/>
                <w:sz w:val="24"/>
                <w:highlight w:val="none"/>
              </w:rPr>
            </w:pPr>
            <w:r>
              <w:rPr>
                <w:rFonts w:hint="eastAsia" w:ascii="宋体" w:hAnsi="宋体" w:cs="楷体"/>
                <w:color w:val="auto"/>
                <w:sz w:val="24"/>
                <w:highlight w:val="none"/>
              </w:rPr>
              <w:t xml:space="preserve">采购标的对应的中小企业划分标准所属行业</w:t>
            </w:r>
            <w:r/>
          </w:p>
        </w:tc>
        <w:tc>
          <w:tcPr>
            <w:tcW w:w="3540" w:type="dxa"/>
            <w:vAlign w:val="center"/>
            <w:textDirection w:val="lrTb"/>
            <w:noWrap w:val="false"/>
          </w:tcPr>
          <w:p>
            <w:pPr>
              <w:pStyle w:val="853"/>
              <w:ind w:firstLine="0"/>
              <w:rPr>
                <w:rFonts w:ascii="宋体" w:hAnsi="宋体" w:cs="楷体"/>
                <w:color w:val="auto"/>
                <w:sz w:val="24"/>
                <w:highlight w:val="none"/>
              </w:rPr>
            </w:pPr>
            <w:r>
              <w:rPr>
                <w:rFonts w:hint="eastAsia" w:ascii="宋体" w:hAnsi="宋体" w:cs="楷体"/>
                <w:color w:val="auto"/>
                <w:sz w:val="24"/>
                <w:highlight w:val="none"/>
              </w:rPr>
              <w:t xml:space="preserve">（1）标的：</w:t>
            </w:r>
            <w:r>
              <w:rPr>
                <w:rFonts w:hint="eastAsia" w:ascii="宋体" w:hAnsi="宋体" w:cs="楷体"/>
                <w:color w:val="auto"/>
                <w:sz w:val="24"/>
                <w:highlight w:val="none"/>
                <w:u w:val="single"/>
                <w:lang w:eastAsia="zh-CN"/>
              </w:rPr>
              <w:t xml:space="preserve">运行维护服务</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，属于</w:t>
            </w:r>
            <w:r>
              <w:rPr>
                <w:rFonts w:hint="eastAsia" w:ascii="宋体" w:hAnsi="宋体" w:cs="楷体"/>
                <w:color w:val="auto"/>
                <w:sz w:val="24"/>
                <w:highlight w:val="none"/>
                <w:u w:val="single"/>
              </w:rPr>
              <w:t xml:space="preserve"> 信息技术服务</w:t>
            </w:r>
            <w:r>
              <w:rPr>
                <w:rFonts w:hint="eastAsia" w:ascii="宋体" w:hAnsi="宋体" w:cs="楷体"/>
                <w:color w:val="auto"/>
                <w:sz w:val="24"/>
                <w:highlight w:val="none"/>
              </w:rPr>
              <w:t xml:space="preserve">。</w:t>
            </w:r>
            <w:r/>
          </w:p>
        </w:tc>
      </w:tr>
      <w:tr>
        <w:trPr/>
        <w:tc>
          <w:tcPr>
            <w:tcW w:w="423" w:type="dxa"/>
            <w:vAlign w:val="center"/>
            <w:textDirection w:val="lrTb"/>
            <w:noWrap w:val="false"/>
          </w:tcPr>
          <w:p>
            <w:pPr>
              <w:pStyle w:val="853"/>
              <w:ind w:firstLine="0"/>
              <w:jc w:val="center"/>
              <w:rPr>
                <w:rFonts w:ascii="宋体" w:hAnsi="宋体" w:cs="楷体"/>
                <w:color w:val="auto"/>
                <w:sz w:val="24"/>
                <w:highlight w:val="none"/>
              </w:rPr>
            </w:pPr>
            <w:r>
              <w:rPr>
                <w:rFonts w:hint="eastAsia" w:ascii="宋体" w:hAnsi="宋体" w:cs="楷体"/>
                <w:color w:val="auto"/>
                <w:sz w:val="24"/>
                <w:highlight w:val="none"/>
              </w:rPr>
              <w:t xml:space="preserve">10</w:t>
            </w:r>
            <w:r/>
          </w:p>
        </w:tc>
        <w:tc>
          <w:tcPr>
            <w:tcW w:w="1035" w:type="dxa"/>
            <w:vAlign w:val="center"/>
            <w:textDirection w:val="lrTb"/>
            <w:noWrap w:val="false"/>
          </w:tcPr>
          <w:p>
            <w:pPr>
              <w:pStyle w:val="853"/>
              <w:ind w:firstLine="0"/>
              <w:jc w:val="center"/>
              <w:rPr>
                <w:rFonts w:ascii="宋体" w:hAnsi="宋体" w:cs="楷体"/>
                <w:color w:val="auto"/>
                <w:sz w:val="24"/>
                <w:highlight w:val="none"/>
              </w:rPr>
            </w:pPr>
            <w:r>
              <w:rPr>
                <w:rFonts w:hint="eastAsia" w:ascii="宋体" w:hAnsi="宋体" w:cs="楷体"/>
                <w:color w:val="auto"/>
                <w:sz w:val="24"/>
                <w:highlight w:val="none"/>
              </w:rPr>
              <w:t xml:space="preserve">节能产品、环境标志产品</w:t>
            </w:r>
            <w:r/>
          </w:p>
        </w:tc>
        <w:tc>
          <w:tcPr>
            <w:tcW w:w="3540" w:type="dxa"/>
            <w:vAlign w:val="center"/>
            <w:textDirection w:val="lrTb"/>
            <w:noWrap w:val="false"/>
          </w:tcPr>
          <w:p>
            <w:pPr>
              <w:pStyle w:val="853"/>
              <w:ind w:firstLine="0"/>
              <w:rPr>
                <w:rFonts w:ascii="宋体" w:hAnsi="宋体" w:cs="楷体"/>
                <w:color w:val="auto"/>
                <w:sz w:val="24"/>
                <w:highlight w:val="none"/>
              </w:rPr>
            </w:pPr>
            <w:r>
              <w:rPr>
                <w:rFonts w:hint="eastAsia" w:ascii="宋体" w:hAnsi="宋体" w:cs="楷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dxa"/>
            <w:vAlign w:val="center"/>
            <w:textDirection w:val="lrTb"/>
            <w:noWrap w:val="false"/>
          </w:tcPr>
          <w:p>
            <w:pPr>
              <w:pStyle w:val="853"/>
              <w:ind w:firstLine="0"/>
              <w:jc w:val="center"/>
              <w:rPr>
                <w:rFonts w:ascii="宋体" w:hAnsi="宋体" w:cs="楷体"/>
                <w:color w:val="auto"/>
                <w:sz w:val="24"/>
                <w:highlight w:val="none"/>
              </w:rPr>
            </w:pPr>
            <w:r>
              <w:rPr>
                <w:rFonts w:hint="eastAsia" w:ascii="宋体" w:hAnsi="宋体" w:cs="楷体"/>
                <w:color w:val="auto"/>
                <w:sz w:val="24"/>
                <w:highlight w:val="none"/>
              </w:rPr>
              <w:t xml:space="preserve">11</w:t>
            </w:r>
            <w:r/>
          </w:p>
        </w:tc>
        <w:tc>
          <w:tcPr>
            <w:tcW w:w="1035" w:type="dxa"/>
            <w:vAlign w:val="center"/>
            <w:textDirection w:val="lrTb"/>
            <w:noWrap w:val="false"/>
          </w:tcPr>
          <w:p>
            <w:pPr>
              <w:pStyle w:val="853"/>
              <w:ind w:firstLine="0"/>
              <w:jc w:val="center"/>
              <w:rPr>
                <w:rFonts w:ascii="宋体" w:hAnsi="宋体" w:cs="楷体"/>
                <w:color w:val="auto"/>
                <w:sz w:val="24"/>
                <w:highlight w:val="none"/>
              </w:rPr>
            </w:pPr>
            <w:r>
              <w:rPr>
                <w:rFonts w:hint="eastAsia" w:ascii="宋体" w:hAnsi="宋体" w:cs="楷体"/>
                <w:color w:val="auto"/>
                <w:sz w:val="24"/>
                <w:highlight w:val="none"/>
              </w:rPr>
              <w:t xml:space="preserve">中小企业信用融资</w:t>
            </w:r>
            <w:r/>
          </w:p>
        </w:tc>
        <w:tc>
          <w:tcPr>
            <w:tcW w:w="3540" w:type="dxa"/>
            <w:vAlign w:val="center"/>
            <w:textDirection w:val="lrTb"/>
            <w:noWrap w:val="false"/>
          </w:tcPr>
          <w:p>
            <w:pPr>
              <w:pStyle w:val="853"/>
              <w:ind w:firstLine="0"/>
              <w:rPr>
                <w:rFonts w:ascii="宋体" w:hAnsi="宋体" w:cs="楷体"/>
                <w:color w:val="auto"/>
                <w:sz w:val="24"/>
                <w:highlight w:val="none"/>
              </w:rPr>
            </w:pPr>
            <w:r>
              <w:rPr>
                <w:rFonts w:hint="eastAsia" w:ascii="宋体" w:hAnsi="宋体" w:cs="楷体"/>
                <w:color w:val="auto"/>
                <w:sz w:val="24"/>
                <w:highlight w:val="none"/>
              </w:rPr>
              <w:t xml:space="preserve">为进一步发挥政府采购政策导向作用，有效缓解企业融资难题，推进完善应收账款融资服务平台的融资服务功能，促进中小微企业平稳健康发展，</w:t>
            </w:r>
            <w:bookmarkStart w:id="20" w:name="_Hlk136445673"/>
            <w:r>
              <w:rPr>
                <w:rFonts w:hint="eastAsia" w:ascii="宋体" w:hAnsi="宋体" w:cs="楷体"/>
                <w:color w:val="auto"/>
                <w:sz w:val="24"/>
                <w:highlight w:val="none"/>
              </w:rPr>
              <w:t xml:space="preserve">镇江市财政局和中国人民银行镇江市中心支行联合印发《关于转发〈关于深入推进政府采购线上合同信用融资工作的通知〉的通知》</w:t>
            </w:r>
            <w:bookmarkEnd w:id="20"/>
            <w:r>
              <w:rPr>
                <w:rFonts w:hint="eastAsia" w:ascii="宋体" w:hAnsi="宋体" w:cs="楷体"/>
                <w:color w:val="auto"/>
                <w:sz w:val="24"/>
                <w:highlight w:val="none"/>
              </w:rPr>
              <w:t xml:space="preserve">，</w:t>
            </w:r>
            <w:bookmarkStart w:id="21" w:name="_Hlk136444446"/>
            <w:r>
              <w:rPr>
                <w:rFonts w:hint="eastAsia" w:ascii="宋体" w:hAnsi="宋体" w:cs="楷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21"/>
            <w:r>
              <w:rPr>
                <w:rFonts w:hint="eastAsia" w:ascii="宋体" w:hAnsi="宋体" w:cs="楷体"/>
                <w:color w:val="auto"/>
                <w:sz w:val="24"/>
                <w:highlight w:val="none"/>
              </w:rPr>
              <w:t xml:space="preserve">办理流程详见江苏政府采购网“政采贷”栏目，网址：http://www.ccgp-jiangsu.gov.cn/jiangsu/paying.html咨询电话：丹阳市财政局政府采购科0511-</w:t>
            </w:r>
            <w:r>
              <w:rPr>
                <w:rFonts w:ascii="宋体" w:hAnsi="宋体" w:cs="楷体"/>
                <w:color w:val="auto"/>
                <w:sz w:val="24"/>
                <w:highlight w:val="none"/>
              </w:rPr>
              <w:t xml:space="preserve">86521852</w:t>
            </w:r>
            <w:r>
              <w:rPr>
                <w:rFonts w:hint="eastAsia" w:ascii="宋体" w:hAnsi="宋体" w:cs="楷体"/>
                <w:color w:val="auto"/>
                <w:sz w:val="24"/>
                <w:highlight w:val="none"/>
              </w:rPr>
              <w:t xml:space="preserve">。</w:t>
            </w:r>
            <w:r/>
          </w:p>
        </w:tc>
      </w:tr>
      <w:tr>
        <w:trPr/>
        <w:tc>
          <w:tcPr>
            <w:tcW w:w="423" w:type="dxa"/>
            <w:vAlign w:val="center"/>
            <w:textDirection w:val="lrTb"/>
            <w:noWrap w:val="false"/>
          </w:tcPr>
          <w:p>
            <w:pPr>
              <w:pStyle w:val="853"/>
              <w:ind w:firstLine="0"/>
              <w:jc w:val="center"/>
              <w:rPr>
                <w:rFonts w:ascii="宋体" w:hAnsi="宋体" w:cs="楷体"/>
                <w:color w:val="auto"/>
                <w:sz w:val="24"/>
                <w:highlight w:val="none"/>
              </w:rPr>
            </w:pPr>
            <w:r>
              <w:rPr>
                <w:rFonts w:hint="eastAsia" w:ascii="宋体" w:hAnsi="宋体" w:cs="楷体"/>
                <w:color w:val="auto"/>
                <w:sz w:val="24"/>
                <w:highlight w:val="none"/>
              </w:rPr>
              <w:t xml:space="preserve">12</w:t>
            </w:r>
            <w:r/>
          </w:p>
        </w:tc>
        <w:tc>
          <w:tcPr>
            <w:tcW w:w="1035" w:type="dxa"/>
            <w:vAlign w:val="center"/>
            <w:textDirection w:val="lrTb"/>
            <w:noWrap w:val="false"/>
          </w:tcPr>
          <w:p>
            <w:pPr>
              <w:pStyle w:val="853"/>
              <w:ind w:firstLine="0"/>
              <w:jc w:val="center"/>
              <w:rPr>
                <w:rFonts w:ascii="宋体" w:hAnsi="宋体" w:cs="楷体"/>
                <w:color w:val="auto"/>
                <w:sz w:val="24"/>
                <w:highlight w:val="none"/>
              </w:rPr>
            </w:pPr>
            <w:r>
              <w:rPr>
                <w:rFonts w:hint="eastAsia" w:ascii="宋体" w:hAnsi="宋体" w:cs="楷体"/>
                <w:color w:val="auto"/>
                <w:sz w:val="24"/>
                <w:highlight w:val="none"/>
              </w:rPr>
              <w:t xml:space="preserve">特别说明</w:t>
            </w:r>
            <w:r/>
          </w:p>
        </w:tc>
        <w:tc>
          <w:tcPr>
            <w:tcW w:w="3540" w:type="dxa"/>
            <w:vAlign w:val="center"/>
            <w:textDirection w:val="lrTb"/>
            <w:noWrap w:val="false"/>
          </w:tcPr>
          <w:p>
            <w:pPr>
              <w:pStyle w:val="853"/>
              <w:ind w:firstLine="0"/>
              <w:rPr>
                <w:rFonts w:ascii="宋体" w:hAnsi="宋体" w:cs="楷体"/>
                <w:i/>
                <w:iCs/>
                <w:color w:val="auto"/>
                <w:sz w:val="24"/>
                <w:highlight w:val="none"/>
              </w:rPr>
            </w:pPr>
            <w:r>
              <w:rPr>
                <w:rFonts w:hint="eastAsia" w:ascii="宋体" w:hAnsi="宋体" w:cs="楷体"/>
                <w:i/>
                <w:iCs/>
                <w:color w:val="auto"/>
                <w:sz w:val="24"/>
                <w:highlight w:val="none"/>
              </w:rPr>
              <w:t xml:space="preserve">无</w:t>
            </w:r>
            <w:r/>
          </w:p>
        </w:tc>
      </w:tr>
    </w:tbl>
    <w:p>
      <w:pPr>
        <w:rPr>
          <w:color w:val="auto"/>
          <w:highlight w:val="none"/>
        </w:rPr>
      </w:pPr>
      <w:r>
        <w:rPr>
          <w:color w:val="auto"/>
          <w:highlight w:val="none"/>
        </w:rPr>
      </w:r>
      <w:r/>
    </w:p>
    <w:p>
      <w:pPr>
        <w:rPr>
          <w:rFonts w:ascii="宋体" w:hAnsi="宋体"/>
          <w:color w:val="auto"/>
          <w:sz w:val="32"/>
          <w:highlight w:val="none"/>
        </w:rPr>
      </w:pPr>
      <w:r/>
      <w:bookmarkStart w:id="22" w:name="_Toc12"/>
      <w:r>
        <w:rPr>
          <w:rFonts w:hint="eastAsia" w:ascii="宋体" w:hAnsi="宋体"/>
          <w:color w:val="auto"/>
          <w:sz w:val="32"/>
          <w:highlight w:val="none"/>
        </w:rPr>
        <w:br w:type="page" w:clear="all"/>
      </w:r>
      <w:r/>
    </w:p>
    <w:p>
      <w:pPr>
        <w:pStyle w:val="843"/>
        <w:spacing w:before="0" w:after="0" w:line="240" w:lineRule="auto"/>
        <w:rPr>
          <w:rFonts w:ascii="宋体" w:hAnsi="宋体" w:eastAsia="宋体"/>
          <w:color w:val="auto"/>
          <w:sz w:val="32"/>
          <w:highlight w:val="none"/>
        </w:rPr>
      </w:pPr>
      <w:r>
        <w:rPr>
          <w:rFonts w:hint="eastAsia" w:ascii="宋体" w:hAnsi="宋体" w:eastAsia="宋体"/>
          <w:color w:val="auto"/>
          <w:sz w:val="32"/>
          <w:highlight w:val="none"/>
        </w:rPr>
        <w:t xml:space="preserve">一、总  则</w:t>
      </w:r>
      <w:bookmarkEnd w:id="22"/>
      <w:r/>
      <w:r/>
    </w:p>
    <w:p>
      <w:pPr>
        <w:pStyle w:val="844"/>
        <w:ind w:firstLine="446"/>
        <w:keepLines w:val="0"/>
        <w:keepNext w:val="0"/>
        <w:spacing w:before="0" w:after="0" w:line="360" w:lineRule="auto"/>
        <w:rPr>
          <w:rFonts w:ascii="宋体" w:hAnsi="宋体"/>
          <w:color w:val="auto"/>
          <w:sz w:val="30"/>
          <w:highlight w:val="none"/>
        </w:rPr>
      </w:pPr>
      <w:r/>
      <w:bookmarkStart w:id="23" w:name="_Toc13"/>
      <w:r>
        <w:rPr>
          <w:rFonts w:hint="eastAsia" w:ascii="宋体" w:hAnsi="宋体"/>
          <w:color w:val="auto"/>
          <w:sz w:val="30"/>
          <w:highlight w:val="none"/>
        </w:rPr>
        <w:t xml:space="preserve">1．适用范围</w:t>
      </w:r>
      <w:bookmarkEnd w:id="2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1.1本磋商文件仅适用于</w:t>
      </w:r>
      <w:r>
        <w:rPr>
          <w:rFonts w:hint="eastAsia" w:ascii="宋体" w:hAnsi="宋体"/>
          <w:color w:val="auto"/>
          <w:sz w:val="24"/>
          <w:highlight w:val="none"/>
          <w:lang w:eastAsia="zh-CN"/>
        </w:rPr>
        <w:t xml:space="preserve">“金保工程”网络与网络安全维保服务项目</w:t>
      </w:r>
      <w:r>
        <w:rPr>
          <w:rFonts w:hint="eastAsia" w:ascii="宋体" w:hAnsi="宋体" w:cs="隶书"/>
          <w:color w:val="auto"/>
          <w:sz w:val="24"/>
          <w:highlight w:val="none"/>
        </w:rPr>
        <w:t xml:space="preserve">。</w:t>
      </w:r>
      <w:r/>
    </w:p>
    <w:p>
      <w:pPr>
        <w:pStyle w:val="844"/>
        <w:ind w:firstLine="446"/>
        <w:keepLines w:val="0"/>
        <w:keepNext w:val="0"/>
        <w:spacing w:before="200" w:after="200" w:line="360" w:lineRule="auto"/>
        <w:rPr>
          <w:rFonts w:ascii="宋体" w:hAnsi="宋体"/>
          <w:color w:val="auto"/>
          <w:sz w:val="30"/>
          <w:highlight w:val="none"/>
        </w:rPr>
      </w:pPr>
      <w:r/>
      <w:bookmarkStart w:id="24" w:name="_Toc14"/>
      <w:r>
        <w:rPr>
          <w:rFonts w:hint="eastAsia" w:ascii="宋体" w:hAnsi="宋体"/>
          <w:color w:val="auto"/>
          <w:sz w:val="30"/>
          <w:highlight w:val="none"/>
        </w:rPr>
        <w:t xml:space="preserve">2．定义</w:t>
      </w:r>
      <w:bookmarkEnd w:id="2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磋商文件中下列术语应解释为：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2.1“磋商组织方”系指采购代理机构或采购单位，即：丹阳市政府采购中心。</w:t>
      </w:r>
      <w:r/>
    </w:p>
    <w:p>
      <w:pPr>
        <w:ind w:firstLine="480"/>
        <w:spacing w:line="360" w:lineRule="auto"/>
        <w:rPr>
          <w:rFonts w:ascii="宋体" w:hAnsi="宋体" w:cs="隶书"/>
          <w:color w:val="auto"/>
          <w:sz w:val="24"/>
          <w:highlight w:val="none"/>
        </w:rPr>
      </w:pPr>
      <w:r>
        <w:rPr>
          <w:rFonts w:hint="eastAsia" w:ascii="宋体" w:hAnsi="宋体"/>
          <w:color w:val="auto"/>
          <w:sz w:val="24"/>
          <w:highlight w:val="none"/>
        </w:rPr>
        <w:t xml:space="preserve">2.2“采购人”系指依法进行政府采购的国家机关、事业单位、团体组织，即：</w:t>
      </w:r>
      <w:r>
        <w:rPr>
          <w:rFonts w:hint="eastAsia" w:ascii="宋体" w:hAnsi="宋体"/>
          <w:color w:val="auto"/>
          <w:sz w:val="24"/>
          <w:highlight w:val="none"/>
          <w:lang w:eastAsia="zh-CN"/>
        </w:rPr>
        <w:t xml:space="preserve">丹阳市人力资源和社会保障局</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2.3“供应商”系指向采购人提供货物、工程或者服务的法人、其他组织或者自然人。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2.4“服务”系指本磋商文件所述采购标的，即</w:t>
      </w:r>
      <w:bookmarkStart w:id="25" w:name="EBec1f6c4cc37b4caa9954b6d54854e118"/>
      <w:r>
        <w:rPr>
          <w:rFonts w:hint="eastAsia" w:ascii="宋体" w:hAnsi="宋体" w:eastAsia="宋体" w:cs="Times New Roman"/>
          <w:color w:val="auto"/>
          <w:sz w:val="24"/>
          <w:highlight w:val="none"/>
        </w:rPr>
        <w:t xml:space="preserve">运行维护服务</w:t>
      </w:r>
      <w:r>
        <w:rPr>
          <w:rFonts w:hint="eastAsia" w:ascii="宋体" w:hAnsi="宋体"/>
          <w:color w:val="auto"/>
          <w:sz w:val="24"/>
          <w:highlight w:val="none"/>
        </w:rPr>
        <w:t xml:space="preserve">，亦包括磋商文件中特别描述的其它形式的服务。</w:t>
      </w:r>
      <w:bookmarkEnd w:id="25"/>
      <w:r/>
      <w:r/>
    </w:p>
    <w:p>
      <w:pPr>
        <w:pStyle w:val="844"/>
        <w:ind w:firstLine="446"/>
        <w:keepLines w:val="0"/>
        <w:keepNext w:val="0"/>
        <w:spacing w:line="360" w:lineRule="auto"/>
        <w:rPr>
          <w:rFonts w:ascii="宋体" w:hAnsi="宋体"/>
          <w:color w:val="auto"/>
          <w:sz w:val="30"/>
          <w:highlight w:val="none"/>
        </w:rPr>
      </w:pPr>
      <w:r/>
      <w:bookmarkStart w:id="26" w:name="_Toc15"/>
      <w:r>
        <w:rPr>
          <w:rFonts w:hint="eastAsia" w:ascii="宋体" w:hAnsi="宋体"/>
          <w:color w:val="auto"/>
          <w:sz w:val="30"/>
          <w:highlight w:val="none"/>
        </w:rPr>
        <w:t xml:space="preserve">3．本次采购方式</w:t>
      </w:r>
      <w:bookmarkEnd w:id="2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3.1本次采购采取竞争性磋商采购方式：综合评分法。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3.2</w:t>
      </w:r>
      <w:r>
        <w:rPr>
          <w:rFonts w:hint="eastAsia" w:ascii="宋体" w:hAnsi="宋体"/>
          <w:color w:val="auto"/>
          <w:sz w:val="24"/>
          <w:szCs w:val="28"/>
          <w:highlight w:val="none"/>
        </w:rPr>
        <w:t xml:space="preserve">是否接受进口产品：</w:t>
      </w:r>
      <w:bookmarkStart w:id="27" w:name="EB1ba279a3e4b14c2e82074c55c6a2d285"/>
      <w:r>
        <w:rPr>
          <w:rFonts w:hint="eastAsia" w:ascii="宋体" w:hAnsi="宋体"/>
          <w:color w:val="auto"/>
          <w:sz w:val="24"/>
          <w:szCs w:val="28"/>
          <w:highlight w:val="none"/>
        </w:rPr>
        <w:t xml:space="preserve">☑</w:t>
      </w:r>
      <w:bookmarkEnd w:id="27"/>
      <w:r>
        <w:rPr>
          <w:rFonts w:hint="eastAsia" w:ascii="宋体" w:hAnsi="宋体"/>
          <w:color w:val="auto"/>
          <w:sz w:val="24"/>
          <w:szCs w:val="28"/>
          <w:highlight w:val="none"/>
        </w:rPr>
        <w:t xml:space="preserve">否</w:t>
      </w:r>
      <w:r/>
    </w:p>
    <w:p>
      <w:pPr>
        <w:ind w:firstLine="480"/>
        <w:spacing w:line="360" w:lineRule="auto"/>
        <w:rPr>
          <w:rFonts w:ascii="宋体" w:hAnsi="宋体"/>
          <w:color w:val="auto"/>
          <w:sz w:val="24"/>
          <w:szCs w:val="28"/>
          <w:highlight w:val="none"/>
        </w:rPr>
      </w:pPr>
      <w:r>
        <w:rPr>
          <w:rFonts w:hint="eastAsia" w:ascii="宋体" w:hAnsi="宋体"/>
          <w:color w:val="auto"/>
          <w:sz w:val="24"/>
          <w:highlight w:val="none"/>
        </w:rPr>
        <w:t xml:space="preserve">3.3</w:t>
      </w:r>
      <w:r>
        <w:rPr>
          <w:rFonts w:hint="eastAsia" w:ascii="宋体" w:hAnsi="宋体"/>
          <w:color w:val="auto"/>
          <w:sz w:val="24"/>
          <w:szCs w:val="28"/>
          <w:highlight w:val="none"/>
        </w:rPr>
        <w:t xml:space="preserve">本项目资格审查方式：</w:t>
      </w:r>
      <w:bookmarkStart w:id="28" w:name="EB11922150b52d423b88a89729a9b1ff16"/>
      <w:r>
        <w:rPr>
          <w:rFonts w:hint="eastAsia" w:ascii="宋体" w:hAnsi="宋体"/>
          <w:color w:val="auto"/>
          <w:sz w:val="24"/>
          <w:szCs w:val="28"/>
          <w:highlight w:val="none"/>
        </w:rPr>
        <w:t xml:space="preserve">☑</w:t>
      </w:r>
      <w:bookmarkEnd w:id="28"/>
      <w:r>
        <w:rPr>
          <w:rFonts w:hint="eastAsia" w:ascii="宋体" w:hAnsi="宋体"/>
          <w:color w:val="auto"/>
          <w:sz w:val="24"/>
          <w:szCs w:val="28"/>
          <w:highlight w:val="none"/>
        </w:rPr>
        <w:t xml:space="preserve">资格后审</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3.4 本次采购确定的成交人数量：</w:t>
      </w:r>
      <w:bookmarkStart w:id="29" w:name="EB239bc7938d02463888f23182e5e568e7"/>
      <w:r>
        <w:rPr>
          <w:rFonts w:hint="eastAsia" w:ascii="宋体" w:hAnsi="宋体"/>
          <w:color w:val="auto"/>
          <w:sz w:val="24"/>
          <w:szCs w:val="28"/>
          <w:highlight w:val="none"/>
        </w:rPr>
        <w:t xml:space="preserve">1名</w:t>
      </w:r>
      <w:bookmarkEnd w:id="29"/>
      <w:r/>
      <w:bookmarkStart w:id="30" w:name="EB65f1af548e51428190f46d10e71d9afc"/>
      <w:r/>
      <w:bookmarkEnd w:id="30"/>
      <w:r/>
      <w:r/>
    </w:p>
    <w:p>
      <w:pPr>
        <w:pStyle w:val="844"/>
        <w:ind w:firstLine="446"/>
        <w:keepLines w:val="0"/>
        <w:keepNext w:val="0"/>
        <w:spacing w:line="360" w:lineRule="auto"/>
        <w:rPr>
          <w:rFonts w:ascii="宋体" w:hAnsi="宋体"/>
          <w:color w:val="auto"/>
          <w:sz w:val="30"/>
          <w:highlight w:val="none"/>
        </w:rPr>
      </w:pPr>
      <w:r/>
      <w:bookmarkStart w:id="31" w:name="_Toc16"/>
      <w:r>
        <w:rPr>
          <w:rFonts w:hint="eastAsia" w:ascii="宋体" w:hAnsi="宋体"/>
          <w:color w:val="auto"/>
          <w:sz w:val="30"/>
          <w:highlight w:val="none"/>
        </w:rPr>
        <w:t xml:space="preserve">4．磋商费用</w:t>
      </w:r>
      <w:bookmarkEnd w:id="31"/>
      <w:r/>
      <w:r/>
    </w:p>
    <w:p>
      <w:pPr>
        <w:ind w:firstLine="480"/>
        <w:spacing w:line="360" w:lineRule="auto"/>
        <w:rPr>
          <w:rFonts w:ascii="宋体" w:hAnsi="宋体"/>
          <w:b/>
          <w:color w:val="auto"/>
          <w:sz w:val="24"/>
          <w:highlight w:val="none"/>
        </w:rPr>
      </w:pPr>
      <w:r>
        <w:rPr>
          <w:rFonts w:hint="eastAsia" w:ascii="宋体" w:hAnsi="宋体"/>
          <w:color w:val="auto"/>
          <w:sz w:val="24"/>
          <w:highlight w:val="none"/>
        </w:rPr>
        <w:t xml:space="preserve">4.1 供应商应自行承担所有与参加磋商有关的费用</w:t>
      </w:r>
      <w:r>
        <w:rPr>
          <w:rFonts w:hint="eastAsia" w:ascii="宋体" w:hAnsi="宋体"/>
          <w:b/>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4.2不论磋商的结果如何，磋商组织方在任何情况下均无义务和责任承担上述费用。</w:t>
      </w:r>
      <w:r/>
    </w:p>
    <w:p>
      <w:pPr>
        <w:pStyle w:val="844"/>
        <w:numPr>
          <w:ilvl w:val="0"/>
          <w:numId w:val="4"/>
        </w:numPr>
        <w:ind w:firstLine="446"/>
        <w:keepLines w:val="0"/>
        <w:keepNext w:val="0"/>
        <w:spacing w:before="200" w:after="200" w:line="360" w:lineRule="auto"/>
        <w:rPr>
          <w:rFonts w:ascii="宋体" w:hAnsi="宋体"/>
          <w:color w:val="auto"/>
          <w:sz w:val="30"/>
          <w:highlight w:val="none"/>
        </w:rPr>
      </w:pPr>
      <w:r/>
      <w:bookmarkStart w:id="32" w:name="_Toc17"/>
      <w:r>
        <w:rPr>
          <w:rFonts w:hint="eastAsia" w:ascii="宋体" w:hAnsi="宋体"/>
          <w:color w:val="auto"/>
          <w:sz w:val="30"/>
          <w:highlight w:val="none"/>
        </w:rPr>
        <w:t xml:space="preserve">政策功能</w:t>
      </w:r>
      <w:bookmarkEnd w:id="32"/>
      <w:r/>
      <w:r/>
    </w:p>
    <w:p>
      <w:pPr>
        <w:ind w:firstLine="480"/>
        <w:spacing w:line="360" w:lineRule="auto"/>
        <w:rPr>
          <w:rFonts w:ascii="宋体" w:hAnsi="宋体" w:cs="楷体"/>
          <w:color w:val="auto"/>
          <w:sz w:val="24"/>
          <w:highlight w:val="none"/>
        </w:rPr>
      </w:pPr>
      <w:r/>
      <w:bookmarkStart w:id="33" w:name="_Toc18"/>
      <w:r>
        <w:rPr>
          <w:rFonts w:hint="eastAsia" w:ascii="宋体" w:hAnsi="宋体" w:cs="楷体"/>
          <w:color w:val="auto"/>
          <w:sz w:val="24"/>
          <w:highlight w:val="none"/>
        </w:rPr>
        <w:t xml:space="preserve">5.1支持中小企业发展</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符合中小企业划分标准的个体工商户，在政府采购活动中视同中小企业。</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5.1.2在政府采购活动中，投标人提供的货物、工程或者服务符合下列情形的，享受中小企业扶持政策：</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5.1.2.2在工程采购项目中，工程由中小企业承建，即工程施工单位为中小企业；</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5.2强制采购信息安全产品</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5.3支持绿色发展</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5.3.4采购人采购数据中心相关设备、运维服务，按照《绿色数据中心政府采购需求标准（试行）》实施相关采购活动。</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5.5支持创新发展</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5.6平等对待内外资企业和符合条件的破产重整企业</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5.6.1平等对待内外资企业和符合条件的破产重整企业，切实保障企业公平竞争，平等维护企业的合法利益。</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5.7 根据江苏省财政厅、江苏省政府扶贫工作办公室《关于转发财政部国务院扶贫办运用政府采购政策支持脱贫攻坚的通知》（苏财购〔2019〕38 号）的要求，各供应商如提供的供应商注册地（应属于注册地 832 个国家级贫困县域内）所在县扶贫部门出具的聘用建档立卡贫困人员具体数量达到30%（含服务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5.8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843"/>
        <w:rPr>
          <w:rFonts w:ascii="宋体" w:hAnsi="宋体" w:eastAsia="宋体"/>
          <w:color w:val="auto"/>
          <w:sz w:val="32"/>
          <w:highlight w:val="none"/>
        </w:rPr>
      </w:pPr>
      <w:r>
        <w:rPr>
          <w:rFonts w:hint="eastAsia" w:ascii="宋体" w:hAnsi="宋体" w:eastAsia="宋体"/>
          <w:color w:val="auto"/>
          <w:sz w:val="32"/>
          <w:highlight w:val="none"/>
        </w:rPr>
        <w:t xml:space="preserve">二、磋商文件</w:t>
      </w:r>
      <w:bookmarkEnd w:id="33"/>
      <w:r/>
      <w:r/>
    </w:p>
    <w:p>
      <w:pPr>
        <w:pStyle w:val="844"/>
        <w:ind w:firstLine="446"/>
        <w:keepLines w:val="0"/>
        <w:keepNext w:val="0"/>
        <w:spacing w:before="0" w:after="0" w:line="240" w:lineRule="auto"/>
        <w:rPr>
          <w:rFonts w:ascii="宋体" w:hAnsi="宋体"/>
          <w:color w:val="auto"/>
          <w:sz w:val="30"/>
          <w:highlight w:val="none"/>
        </w:rPr>
      </w:pPr>
      <w:r/>
      <w:bookmarkStart w:id="34" w:name="_Toc19"/>
      <w:r>
        <w:rPr>
          <w:rFonts w:hint="eastAsia" w:ascii="宋体" w:hAnsi="宋体"/>
          <w:color w:val="auto"/>
          <w:sz w:val="30"/>
          <w:highlight w:val="none"/>
        </w:rPr>
        <w:t xml:space="preserve">6．磋商文件组成</w:t>
      </w:r>
      <w:bookmarkEnd w:id="34"/>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6.1磋商文件包括：</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（1）磋商邀请</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（2）供应商须知</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（3）合同主要条款</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（4）采购需求</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（5）磋商及评审</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（6）磋商响应文件（格式）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6.2供应商获取本文件后，应认真阅读本文件中所有的事项、格式条款和规范等要求。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6.3</w:t>
      </w:r>
      <w:r>
        <w:rPr>
          <w:rFonts w:hint="eastAsia" w:ascii="宋体" w:hAnsi="宋体"/>
          <w:b/>
          <w:color w:val="auto"/>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color w:val="auto"/>
          <w:sz w:val="24"/>
          <w:highlight w:val="none"/>
        </w:rPr>
        <w:t xml:space="preserve">。</w:t>
      </w:r>
      <w:r/>
    </w:p>
    <w:p>
      <w:pPr>
        <w:pStyle w:val="844"/>
        <w:ind w:firstLine="446"/>
        <w:keepLines w:val="0"/>
        <w:keepNext w:val="0"/>
        <w:spacing w:before="200" w:after="200" w:line="360" w:lineRule="auto"/>
        <w:rPr>
          <w:rFonts w:ascii="宋体" w:hAnsi="宋体"/>
          <w:color w:val="auto"/>
          <w:sz w:val="30"/>
          <w:highlight w:val="none"/>
        </w:rPr>
      </w:pPr>
      <w:r/>
      <w:bookmarkStart w:id="35" w:name="_Toc20"/>
      <w:r>
        <w:rPr>
          <w:rFonts w:hint="eastAsia" w:ascii="宋体" w:hAnsi="宋体"/>
          <w:color w:val="auto"/>
          <w:sz w:val="30"/>
          <w:highlight w:val="none"/>
        </w:rPr>
        <w:t xml:space="preserve">7．磋商文件的澄清和修改</w:t>
      </w:r>
      <w:bookmarkEnd w:id="3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7.1任何要求对磋商文件进行澄清的供应商，应及时联系项目联系人。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7.2</w:t>
      </w:r>
      <w:r>
        <w:rPr>
          <w:rFonts w:hint="eastAsia" w:ascii="宋体" w:hAnsi="宋体"/>
          <w:b/>
          <w:color w:val="auto"/>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7.3磋商组织方可以对已发出的磋商文件进行必要的澄清或者修改。澄清或者修改将在原公告媒体上发布澄清公告。澄清或者修改的内容为磋商文件的组成部分。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7.5如澄清或修改公告有重新发布电子磋商文件的，供应商应下载最新发布的电子磋商文件制作响应文件。</w:t>
      </w:r>
      <w:r>
        <w:rPr>
          <w:rFonts w:ascii="宋体" w:hAnsi="宋体"/>
          <w:b/>
          <w:color w:val="auto"/>
          <w:sz w:val="24"/>
          <w:highlight w:val="none"/>
        </w:rPr>
        <w:t xml:space="preserve">因供应商自身原因未能及时获取的</w:t>
      </w:r>
      <w:r>
        <w:rPr>
          <w:rFonts w:hint="eastAsia" w:ascii="宋体" w:hAnsi="宋体"/>
          <w:b/>
          <w:color w:val="auto"/>
          <w:sz w:val="24"/>
          <w:highlight w:val="none"/>
        </w:rPr>
        <w:t xml:space="preserve">，一切后果由供应商自行承担。</w:t>
      </w:r>
      <w:r/>
    </w:p>
    <w:p>
      <w:pPr>
        <w:pStyle w:val="843"/>
        <w:rPr>
          <w:rFonts w:ascii="宋体" w:hAnsi="宋体" w:eastAsia="宋体"/>
          <w:color w:val="auto"/>
          <w:sz w:val="32"/>
          <w:highlight w:val="none"/>
        </w:rPr>
      </w:pPr>
      <w:r/>
      <w:bookmarkStart w:id="36" w:name="_Toc21"/>
      <w:r>
        <w:rPr>
          <w:rFonts w:hint="eastAsia" w:ascii="宋体" w:hAnsi="宋体" w:eastAsia="宋体"/>
          <w:color w:val="auto"/>
          <w:sz w:val="32"/>
          <w:highlight w:val="none"/>
        </w:rPr>
        <w:t xml:space="preserve">三、磋商响应文件</w:t>
      </w:r>
      <w:bookmarkEnd w:id="36"/>
      <w:r/>
      <w:r/>
    </w:p>
    <w:p>
      <w:pPr>
        <w:pStyle w:val="844"/>
        <w:ind w:firstLine="446"/>
        <w:keepLines w:val="0"/>
        <w:keepNext w:val="0"/>
        <w:spacing w:before="200" w:after="200" w:line="360" w:lineRule="auto"/>
        <w:rPr>
          <w:rFonts w:ascii="宋体" w:hAnsi="宋体"/>
          <w:color w:val="auto"/>
          <w:sz w:val="30"/>
          <w:highlight w:val="none"/>
        </w:rPr>
      </w:pPr>
      <w:r/>
      <w:bookmarkStart w:id="37" w:name="_Toc22"/>
      <w:r>
        <w:rPr>
          <w:rFonts w:hint="eastAsia" w:ascii="宋体" w:hAnsi="宋体"/>
          <w:color w:val="auto"/>
          <w:sz w:val="30"/>
          <w:highlight w:val="none"/>
        </w:rPr>
        <w:t xml:space="preserve">8．编制响应文件的工具</w:t>
      </w:r>
      <w:bookmarkEnd w:id="3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8.1供应商须通过“苏采云”系统平台提供的最新响应文件制作软件编制响应文件。下载路径：江苏政府采购网—资料下载—《江苏省政府采购交易管理系统（苏采云）供应商操作指南》</w:t>
      </w:r>
      <w:r/>
    </w:p>
    <w:p>
      <w:pPr>
        <w:pStyle w:val="844"/>
        <w:ind w:firstLine="446"/>
        <w:keepLines w:val="0"/>
        <w:keepNext w:val="0"/>
        <w:spacing w:before="200" w:after="200" w:line="360" w:lineRule="auto"/>
        <w:rPr>
          <w:rFonts w:ascii="宋体" w:hAnsi="宋体"/>
          <w:color w:val="auto"/>
          <w:sz w:val="30"/>
          <w:highlight w:val="none"/>
        </w:rPr>
      </w:pPr>
      <w:r/>
      <w:bookmarkStart w:id="38" w:name="_Toc23"/>
      <w:r>
        <w:rPr>
          <w:rFonts w:hint="eastAsia" w:ascii="宋体" w:hAnsi="宋体"/>
          <w:color w:val="auto"/>
          <w:sz w:val="30"/>
          <w:highlight w:val="none"/>
        </w:rPr>
        <w:t xml:space="preserve">9．响应文件语言及度量衡单位</w:t>
      </w:r>
      <w:bookmarkEnd w:id="3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9.2响应文件中所使用的计量单位除磋商文件中另有特殊规定外，一律使用法定计量单位。</w:t>
      </w:r>
      <w:r/>
    </w:p>
    <w:p>
      <w:pPr>
        <w:pStyle w:val="844"/>
        <w:ind w:firstLine="446"/>
        <w:keepLines w:val="0"/>
        <w:keepNext w:val="0"/>
        <w:spacing w:before="200" w:after="200" w:line="360" w:lineRule="auto"/>
        <w:rPr>
          <w:rFonts w:ascii="宋体" w:hAnsi="宋体"/>
          <w:color w:val="auto"/>
          <w:sz w:val="30"/>
          <w:highlight w:val="none"/>
        </w:rPr>
      </w:pPr>
      <w:r/>
      <w:bookmarkStart w:id="39" w:name="_Toc24"/>
      <w:r>
        <w:rPr>
          <w:rFonts w:hint="eastAsia" w:ascii="宋体" w:hAnsi="宋体"/>
          <w:color w:val="auto"/>
          <w:sz w:val="30"/>
          <w:highlight w:val="none"/>
        </w:rPr>
        <w:t xml:space="preserve">10．响应文件的构成</w:t>
      </w:r>
      <w:bookmarkEnd w:id="39"/>
      <w:r/>
      <w:r/>
    </w:p>
    <w:p>
      <w:pPr>
        <w:pStyle w:val="896"/>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10.1响应文件分为资格部分、商务部分和技术部分。</w:t>
      </w:r>
      <w:r/>
    </w:p>
    <w:p>
      <w:pPr>
        <w:pStyle w:val="896"/>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10.2资格部分系指供应商提交的证明其有资格参加磋商的文件。</w:t>
      </w:r>
      <w:r/>
    </w:p>
    <w:p>
      <w:pPr>
        <w:pStyle w:val="896"/>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10.3商务部分系指供应商提交的证明其成交后有能力履行合同的文件。</w:t>
      </w:r>
      <w:r/>
    </w:p>
    <w:p>
      <w:pPr>
        <w:pStyle w:val="896"/>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10.4技术部分系指供应商提交的能够证明其提供的服务（货物）符合磋商文件规定的文件。</w:t>
      </w:r>
      <w:r/>
    </w:p>
    <w:p>
      <w:pPr>
        <w:pStyle w:val="896"/>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10.5具体填写格式详见磋商文件第六部分。</w:t>
      </w:r>
      <w:r/>
    </w:p>
    <w:p>
      <w:pPr>
        <w:pStyle w:val="844"/>
        <w:ind w:firstLine="446"/>
        <w:keepLines w:val="0"/>
        <w:keepNext w:val="0"/>
        <w:spacing w:before="200" w:after="200" w:line="360" w:lineRule="auto"/>
        <w:rPr>
          <w:rFonts w:ascii="宋体" w:hAnsi="宋体"/>
          <w:color w:val="auto"/>
          <w:sz w:val="30"/>
          <w:highlight w:val="none"/>
        </w:rPr>
      </w:pPr>
      <w:r/>
      <w:bookmarkStart w:id="40" w:name="_Toc25"/>
      <w:r>
        <w:rPr>
          <w:rFonts w:hint="eastAsia" w:ascii="宋体" w:hAnsi="宋体"/>
          <w:color w:val="auto"/>
          <w:sz w:val="30"/>
          <w:highlight w:val="none"/>
        </w:rPr>
        <w:t xml:space="preserve">11．响应文件的编写</w:t>
      </w:r>
      <w:bookmarkEnd w:id="40"/>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11.1供应商应仔细阅读磋商文件，按照磋商文件的要求编制响应文件。响应文件应当对磋商文件提出的要求和条件作出明确响应。</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11.2</w:t>
      </w:r>
      <w:r>
        <w:rPr>
          <w:rFonts w:hint="eastAsia" w:ascii="宋体" w:hAnsi="宋体"/>
          <w:b/>
          <w:color w:val="auto"/>
          <w:sz w:val="24"/>
          <w:highlight w:val="none"/>
        </w:rPr>
        <w:t xml:space="preserve">供应商在编制响应文件时，请按照磋商文件第六部分规定的格式进行填写，各模块内容须填写或提交到对应位置，无相应内容可填的项应填写“无”、“没有相应指标”等明确的回答文字。</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11.3如没有按照磋商文件要求和规定编制响应文件及提交相关资料，其风险应由供应商自行承担；响应文件编排混乱、文字表达不清或上传资料内容模糊所引起的不利后果，由供应商自行承担。</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11.4</w:t>
      </w:r>
      <w:r>
        <w:rPr>
          <w:rFonts w:hint="eastAsia" w:ascii="宋体" w:hAnsi="宋体"/>
          <w:b/>
          <w:color w:val="auto"/>
          <w:sz w:val="24"/>
          <w:highlight w:val="none"/>
        </w:rPr>
        <w:t xml:space="preserve">供应商必须保证响应文件所提供的全部资料合法、真实、可靠。</w:t>
      </w:r>
      <w:r/>
    </w:p>
    <w:p>
      <w:pPr>
        <w:pStyle w:val="844"/>
        <w:ind w:firstLine="446"/>
        <w:keepLines w:val="0"/>
        <w:keepNext w:val="0"/>
        <w:spacing w:before="200" w:after="200" w:line="360" w:lineRule="auto"/>
        <w:tabs>
          <w:tab w:val="left" w:pos="5191" w:leader="none"/>
        </w:tabs>
        <w:rPr>
          <w:rFonts w:ascii="宋体" w:hAnsi="宋体"/>
          <w:color w:val="auto"/>
          <w:sz w:val="30"/>
          <w:highlight w:val="none"/>
        </w:rPr>
      </w:pPr>
      <w:r/>
      <w:bookmarkStart w:id="41" w:name="_Toc26"/>
      <w:r>
        <w:rPr>
          <w:rFonts w:hint="eastAsia" w:ascii="宋体" w:hAnsi="宋体"/>
          <w:color w:val="auto"/>
          <w:sz w:val="30"/>
          <w:highlight w:val="none"/>
        </w:rPr>
        <w:t xml:space="preserve">12．响应报价</w:t>
      </w:r>
      <w:bookmarkEnd w:id="41"/>
      <w:r/>
      <w:r/>
    </w:p>
    <w:p>
      <w:pPr>
        <w:ind w:left="2" w:firstLine="480"/>
        <w:spacing w:line="360" w:lineRule="auto"/>
        <w:rPr>
          <w:rFonts w:ascii="宋体" w:hAnsi="宋体"/>
          <w:color w:val="auto"/>
          <w:sz w:val="24"/>
          <w:highlight w:val="none"/>
        </w:rPr>
      </w:pPr>
      <w:r/>
      <w:bookmarkStart w:id="42" w:name="EBdf1224c9869e4463a955117a0de4c3b6"/>
      <w:r>
        <w:rPr>
          <w:rFonts w:hint="eastAsia" w:ascii="宋体" w:hAnsi="宋体"/>
          <w:color w:val="auto"/>
          <w:sz w:val="24"/>
          <w:highlight w:val="none"/>
        </w:rPr>
        <w:t xml:space="preserve">12.1磋商应以人民币报价（保留至小数点后2位，四舍五入）。</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12.2供应商应按磋商文件所提供的各报价表格式报价。</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12.3供应商对本项目应报出最具有竞争力的价格，应包括本次磋商要求提供服务已支付或将支付的所有费用。</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12.4供应商应按磋商文件的要求在响应文件里提供磋商首轮报价，并根据首轮报价在所附的首轮明细报价表上列明所提供服务的明细报价。供应商须根据项目需求及自身经验填写明细报价。</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12.5在磋商过程中未对磋商内容作出实质性变更、修改的情况下，如最后报价超过首轮报价，则最后报价无效，以其首轮报价作为最终报价。</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12.6最低磋商报价不能作为成交的唯一保证。</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12.7磋商最后报价即为合同签约价。</w:t>
      </w:r>
      <w:bookmarkEnd w:id="42"/>
      <w:r/>
      <w:r/>
    </w:p>
    <w:p>
      <w:pPr>
        <w:ind w:left="2"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12.8根据《关于推动解决政府采购异常低价问题的通知》财库〔2026〕2号的要求，评审委员会应当启动异常低价投标（响应）审查程序的情形包括：</w:t>
      </w:r>
      <w:r/>
    </w:p>
    <w:p>
      <w:pPr>
        <w:ind w:left="2"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left="2"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left="2"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3.投标（响应）报价低于采购项目最高限价45%的，即投标（响应）报价&lt;采购项目最高限价×45%；</w:t>
      </w:r>
      <w:r/>
    </w:p>
    <w:p>
      <w:pPr>
        <w:ind w:left="2"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4.评审委员会基于专业判断，认为供应商报价过低，有可能影响产品质量或者不能诚信履约的其他情形。</w:t>
      </w:r>
      <w:r/>
    </w:p>
    <w:p>
      <w:pPr>
        <w:ind w:left="2" w:firstLine="480"/>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844"/>
        <w:ind w:firstLine="446"/>
        <w:keepLines w:val="0"/>
        <w:keepNext w:val="0"/>
        <w:spacing w:before="200" w:after="200" w:line="360" w:lineRule="auto"/>
        <w:tabs>
          <w:tab w:val="left" w:pos="5191" w:leader="none"/>
        </w:tabs>
        <w:rPr>
          <w:rFonts w:ascii="宋体" w:hAnsi="宋体"/>
          <w:color w:val="auto"/>
          <w:sz w:val="30"/>
          <w:highlight w:val="none"/>
        </w:rPr>
      </w:pPr>
      <w:r/>
      <w:bookmarkStart w:id="43" w:name="_Toc27"/>
      <w:r>
        <w:rPr>
          <w:rFonts w:hint="eastAsia" w:ascii="宋体" w:hAnsi="宋体"/>
          <w:color w:val="auto"/>
          <w:sz w:val="30"/>
          <w:highlight w:val="none"/>
        </w:rPr>
        <w:t xml:space="preserve">13．磋商保证金</w:t>
      </w:r>
      <w:bookmarkEnd w:id="43"/>
      <w:r/>
      <w:r/>
    </w:p>
    <w:p>
      <w:pPr>
        <w:ind w:firstLine="480"/>
        <w:spacing w:line="360" w:lineRule="auto"/>
        <w:rPr>
          <w:rFonts w:ascii="宋体" w:hAnsi="宋体"/>
          <w:color w:val="auto"/>
          <w:sz w:val="24"/>
          <w:highlight w:val="none"/>
        </w:rPr>
      </w:pPr>
      <w:r/>
      <w:bookmarkStart w:id="44" w:name="EBffce9a1083124a32b81da965a376b38b"/>
      <w:r>
        <w:rPr>
          <w:rFonts w:hint="eastAsia" w:ascii="宋体" w:hAnsi="宋体"/>
          <w:color w:val="auto"/>
          <w:sz w:val="24"/>
          <w:highlight w:val="none"/>
        </w:rPr>
        <w:t xml:space="preserve">13.1本项目不收磋商保证金。</w:t>
      </w:r>
      <w:bookmarkEnd w:id="44"/>
      <w:r>
        <w:rPr>
          <w:rFonts w:ascii="宋体" w:hAnsi="宋体"/>
          <w:color w:val="auto"/>
          <w:sz w:val="24"/>
          <w:highlight w:val="none"/>
        </w:rPr>
        <w:t xml:space="preserve"> </w:t>
      </w:r>
      <w:r/>
    </w:p>
    <w:p>
      <w:pPr>
        <w:pStyle w:val="844"/>
        <w:ind w:firstLine="446"/>
        <w:keepLines w:val="0"/>
        <w:keepNext w:val="0"/>
        <w:spacing w:before="200" w:after="200" w:line="360" w:lineRule="auto"/>
        <w:tabs>
          <w:tab w:val="left" w:pos="5191" w:leader="none"/>
        </w:tabs>
        <w:rPr>
          <w:rFonts w:ascii="宋体" w:hAnsi="宋体"/>
          <w:color w:val="auto"/>
          <w:sz w:val="30"/>
          <w:highlight w:val="none"/>
        </w:rPr>
      </w:pPr>
      <w:r/>
      <w:bookmarkStart w:id="45" w:name="_Toc28"/>
      <w:r>
        <w:rPr>
          <w:rFonts w:hint="eastAsia" w:ascii="宋体" w:hAnsi="宋体"/>
          <w:color w:val="auto"/>
          <w:sz w:val="30"/>
          <w:highlight w:val="none"/>
        </w:rPr>
        <w:t xml:space="preserve">14．磋商响应有效期</w:t>
      </w:r>
      <w:bookmarkEnd w:id="4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14.1磋商有效期为：磋商响应文件自磋商之日起</w:t>
      </w:r>
      <w:bookmarkStart w:id="46" w:name="EBe5331d116298431aa240d61d189e1ecb"/>
      <w:r>
        <w:rPr>
          <w:rFonts w:hint="eastAsia" w:ascii="宋体" w:hAnsi="宋体"/>
          <w:color w:val="auto"/>
          <w:sz w:val="24"/>
          <w:highlight w:val="none"/>
        </w:rPr>
        <w:t xml:space="preserve">60天</w:t>
      </w:r>
      <w:bookmarkEnd w:id="46"/>
      <w:r>
        <w:rPr>
          <w:rFonts w:hint="eastAsia" w:ascii="宋体" w:hAnsi="宋体"/>
          <w:color w:val="auto"/>
          <w:sz w:val="24"/>
          <w:highlight w:val="none"/>
        </w:rPr>
        <w:t xml:space="preserve">内有效。供应商一旦领取了本磋商文件并参加磋商，即被认为接受了磋商有效期的约定。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844"/>
        <w:ind w:firstLine="446"/>
        <w:keepLines w:val="0"/>
        <w:keepNext w:val="0"/>
        <w:spacing w:before="200" w:after="200" w:line="360" w:lineRule="auto"/>
        <w:tabs>
          <w:tab w:val="left" w:pos="5191" w:leader="none"/>
        </w:tabs>
        <w:rPr>
          <w:rFonts w:ascii="宋体" w:hAnsi="宋体"/>
          <w:color w:val="auto"/>
          <w:sz w:val="30"/>
          <w:highlight w:val="none"/>
        </w:rPr>
      </w:pPr>
      <w:r/>
      <w:bookmarkStart w:id="47" w:name="_Toc29"/>
      <w:r>
        <w:rPr>
          <w:rFonts w:hint="eastAsia" w:ascii="宋体" w:hAnsi="宋体"/>
          <w:color w:val="auto"/>
          <w:sz w:val="30"/>
          <w:highlight w:val="none"/>
        </w:rPr>
        <w:t xml:space="preserve">15.响应文件的式样和签署</w:t>
      </w:r>
      <w:bookmarkEnd w:id="4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15.1供应商应通过响应文件制作软件使用数字认证证书对响应文件进行合成、电子签章及加密打包。</w:t>
      </w:r>
      <w:r/>
    </w:p>
    <w:p>
      <w:pPr>
        <w:pStyle w:val="844"/>
        <w:ind w:firstLine="446"/>
        <w:keepLines w:val="0"/>
        <w:keepNext w:val="0"/>
        <w:spacing w:before="200" w:after="200" w:line="360" w:lineRule="auto"/>
        <w:tabs>
          <w:tab w:val="left" w:pos="5191" w:leader="none"/>
        </w:tabs>
        <w:rPr>
          <w:rFonts w:ascii="宋体" w:hAnsi="宋体"/>
          <w:color w:val="auto"/>
          <w:sz w:val="30"/>
          <w:highlight w:val="none"/>
        </w:rPr>
      </w:pPr>
      <w:r/>
      <w:bookmarkStart w:id="48" w:name="_Toc30"/>
      <w:r>
        <w:rPr>
          <w:rFonts w:hint="eastAsia" w:ascii="宋体" w:hAnsi="宋体"/>
          <w:color w:val="auto"/>
          <w:sz w:val="30"/>
          <w:highlight w:val="none"/>
        </w:rPr>
        <w:t xml:space="preserve">16．响应文件的提交</w:t>
      </w:r>
      <w:bookmarkEnd w:id="48"/>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16.1磋商响应文件提交</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16.1.1供应商须在磋商文件规定的截止时间前，通过响应文件编制软件制作完成后，登录“苏采云”系统在规定时间内完成提交。</w:t>
      </w:r>
      <w:r>
        <w:rPr>
          <w:rFonts w:hint="eastAsia" w:ascii="宋体" w:hAnsi="宋体"/>
          <w:b/>
          <w:color w:val="auto"/>
          <w:sz w:val="24"/>
          <w:highlight w:val="none"/>
          <w:u w:val="single"/>
        </w:rPr>
        <w:t xml:space="preserve">时间以“苏采云”系统时间为准。</w:t>
      </w:r>
      <w:r/>
    </w:p>
    <w:p>
      <w:pPr>
        <w:ind w:left="1" w:firstLine="480"/>
        <w:spacing w:line="360" w:lineRule="auto"/>
        <w:rPr>
          <w:color w:val="auto"/>
          <w:highlight w:val="none"/>
        </w:rPr>
      </w:pPr>
      <w:r>
        <w:rPr>
          <w:rFonts w:hint="eastAsia" w:ascii="宋体" w:hAnsi="宋体"/>
          <w:color w:val="auto"/>
          <w:sz w:val="24"/>
          <w:highlight w:val="none"/>
        </w:rPr>
        <w:t xml:space="preserve">16.1.2</w:t>
      </w:r>
      <w:r>
        <w:rPr>
          <w:rFonts w:hint="eastAsia" w:ascii="宋体" w:hAnsi="宋体"/>
          <w:b/>
          <w:color w:val="auto"/>
          <w:sz w:val="24"/>
          <w:highlight w:val="none"/>
          <w:u w:val="single"/>
        </w:rPr>
        <w:t xml:space="preserve">截止时间以后提交的响应文件，“苏采云”系统将拒绝接收上传的任何投标文件。供应商应充分考虑网络环境、网络带宽等风险因素。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16.1.3</w:t>
      </w:r>
      <w:r>
        <w:rPr>
          <w:rFonts w:hint="eastAsia" w:ascii="宋体" w:hAnsi="宋体" w:cs="楷体"/>
          <w:b/>
          <w:color w:val="auto"/>
          <w:sz w:val="24"/>
          <w:szCs w:val="20"/>
          <w:highlight w:val="none"/>
          <w:u w:val="single"/>
        </w:rPr>
        <w:t xml:space="preserve">提交磋商响应文件时，供应商须使用制作该磋商响应文件的同一数字认证证书进行提交操作。</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16.1.4</w:t>
      </w:r>
      <w:r>
        <w:rPr>
          <w:rFonts w:hint="eastAsia" w:ascii="宋体" w:hAnsi="宋体"/>
          <w:b/>
          <w:color w:val="auto"/>
          <w:sz w:val="24"/>
          <w:highlight w:val="none"/>
          <w:u w:val="single"/>
        </w:rPr>
        <w:t xml:space="preserve">提交完成后至解密前，</w:t>
      </w:r>
      <w:r>
        <w:rPr>
          <w:rFonts w:hint="eastAsia" w:ascii="宋体" w:hAnsi="宋体"/>
          <w:b/>
          <w:color w:val="auto"/>
          <w:sz w:val="24"/>
          <w:szCs w:val="20"/>
          <w:highlight w:val="none"/>
          <w:u w:val="single"/>
        </w:rPr>
        <w:t xml:space="preserve">供应商</w:t>
      </w:r>
      <w:r>
        <w:rPr>
          <w:rFonts w:hint="eastAsia" w:ascii="宋体" w:hAnsi="宋体"/>
          <w:b/>
          <w:color w:val="auto"/>
          <w:sz w:val="24"/>
          <w:highlight w:val="non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16.1.5因不可抗力事件造成的响应文件的损坏、丢失的，磋商组织方不承担责任。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16.2磋商组织方可以通过修改磋商文件自行酌情延长截止时间，在此情况下，推迟提交截止时间将在系统中以书面形式通知已获取磋商文件的潜在供应商，并在原公告媒体上发布公告。供应商应及时自行登录系统查看相应内容。</w:t>
      </w:r>
      <w:r/>
    </w:p>
    <w:p>
      <w:pPr>
        <w:pStyle w:val="844"/>
        <w:ind w:firstLine="446"/>
        <w:keepLines w:val="0"/>
        <w:keepNext w:val="0"/>
        <w:spacing w:before="200" w:after="200" w:line="360" w:lineRule="auto"/>
        <w:tabs>
          <w:tab w:val="left" w:pos="5191" w:leader="none"/>
        </w:tabs>
        <w:rPr>
          <w:rFonts w:ascii="宋体" w:hAnsi="宋体"/>
          <w:color w:val="auto"/>
          <w:sz w:val="30"/>
          <w:highlight w:val="none"/>
        </w:rPr>
      </w:pPr>
      <w:r/>
      <w:bookmarkStart w:id="49" w:name="_Toc31"/>
      <w:r>
        <w:rPr>
          <w:rFonts w:hint="eastAsia" w:ascii="宋体" w:hAnsi="宋体"/>
          <w:color w:val="auto"/>
          <w:sz w:val="30"/>
          <w:highlight w:val="none"/>
        </w:rPr>
        <w:t xml:space="preserve">17．响应文件的补充、修改或者撤回</w:t>
      </w:r>
      <w:bookmarkEnd w:id="4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17.1</w:t>
      </w:r>
      <w:r>
        <w:rPr>
          <w:rFonts w:ascii="宋体" w:hAnsi="宋体"/>
          <w:color w:val="auto"/>
          <w:sz w:val="24"/>
          <w:highlight w:val="none"/>
        </w:rPr>
        <w:t xml:space="preserve">在提交截止时间前</w:t>
      </w:r>
      <w:r>
        <w:rPr>
          <w:rFonts w:hint="eastAsia" w:ascii="宋体" w:hAnsi="宋体"/>
          <w:color w:val="auto"/>
          <w:sz w:val="24"/>
          <w:highlight w:val="none"/>
        </w:rPr>
        <w:t xml:space="preserve">，</w:t>
      </w:r>
      <w:r>
        <w:rPr>
          <w:rFonts w:ascii="宋体" w:hAnsi="宋体"/>
          <w:color w:val="auto"/>
          <w:sz w:val="24"/>
          <w:highlight w:val="none"/>
        </w:rPr>
        <w:t xml:space="preserve">供应商可以对所</w:t>
      </w:r>
      <w:r>
        <w:rPr>
          <w:rFonts w:hint="eastAsia" w:ascii="宋体" w:hAnsi="宋体"/>
          <w:color w:val="auto"/>
          <w:sz w:val="24"/>
          <w:highlight w:val="none"/>
        </w:rPr>
        <w:t xml:space="preserve">提交</w:t>
      </w:r>
      <w:r>
        <w:rPr>
          <w:rFonts w:ascii="宋体" w:hAnsi="宋体"/>
          <w:color w:val="auto"/>
          <w:sz w:val="24"/>
          <w:highlight w:val="none"/>
        </w:rPr>
        <w:t xml:space="preserve">的电子响应文件进行</w:t>
      </w:r>
      <w:r>
        <w:rPr>
          <w:rFonts w:hint="eastAsia" w:ascii="宋体" w:hAnsi="宋体"/>
          <w:color w:val="auto"/>
          <w:sz w:val="24"/>
          <w:highlight w:val="none"/>
        </w:rPr>
        <w:t xml:space="preserve">补充、修改或者撤回</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17.2</w:t>
      </w:r>
      <w:r>
        <w:rPr>
          <w:rFonts w:ascii="宋体" w:hAnsi="宋体"/>
          <w:color w:val="auto"/>
          <w:sz w:val="24"/>
          <w:highlight w:val="none"/>
        </w:rPr>
        <w:t xml:space="preserve">供应商在提交截止时间前</w:t>
      </w:r>
      <w:r>
        <w:rPr>
          <w:rFonts w:hint="eastAsia" w:ascii="宋体" w:hAnsi="宋体"/>
          <w:color w:val="auto"/>
          <w:sz w:val="24"/>
          <w:highlight w:val="none"/>
        </w:rPr>
        <w:t xml:space="preserve">需要</w:t>
      </w:r>
      <w:r>
        <w:rPr>
          <w:rFonts w:ascii="宋体" w:hAnsi="宋体"/>
          <w:color w:val="auto"/>
          <w:sz w:val="24"/>
          <w:highlight w:val="none"/>
        </w:rPr>
        <w:t xml:space="preserve">对响应文件进行补充、修改</w:t>
      </w:r>
      <w:r>
        <w:rPr>
          <w:rFonts w:hint="eastAsia" w:ascii="宋体" w:hAnsi="宋体"/>
          <w:color w:val="auto"/>
          <w:sz w:val="24"/>
          <w:highlight w:val="none"/>
        </w:rPr>
        <w:t xml:space="preserve">的，应当使用响应文件制作软件重新制作并提交。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17.3在提交截止时间之后，供应商不得对其响应文件作任何修改或撤回。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17.4在提交截止时间至磋商文件中规定的磋商有效期满之间，供应商不得撤回其响应。</w:t>
      </w:r>
      <w:r/>
    </w:p>
    <w:p>
      <w:pPr>
        <w:pStyle w:val="843"/>
        <w:rPr>
          <w:rFonts w:ascii="宋体" w:hAnsi="宋体" w:eastAsia="宋体"/>
          <w:color w:val="auto"/>
          <w:sz w:val="32"/>
          <w:highlight w:val="none"/>
        </w:rPr>
      </w:pPr>
      <w:r/>
      <w:bookmarkStart w:id="50" w:name="_Toc32"/>
      <w:r>
        <w:rPr>
          <w:rFonts w:hint="eastAsia" w:ascii="宋体" w:hAnsi="宋体" w:eastAsia="宋体"/>
          <w:color w:val="auto"/>
          <w:sz w:val="32"/>
          <w:highlight w:val="none"/>
        </w:rPr>
        <w:t xml:space="preserve">四、磋商与评审</w:t>
      </w:r>
      <w:bookmarkEnd w:id="50"/>
      <w:r/>
      <w:r/>
    </w:p>
    <w:p>
      <w:pPr>
        <w:pStyle w:val="844"/>
        <w:ind w:firstLine="446"/>
        <w:keepLines w:val="0"/>
        <w:keepNext w:val="0"/>
        <w:spacing w:before="200" w:after="200" w:line="360" w:lineRule="auto"/>
        <w:tabs>
          <w:tab w:val="left" w:pos="5191" w:leader="none"/>
        </w:tabs>
        <w:rPr>
          <w:rFonts w:ascii="宋体" w:hAnsi="宋体"/>
          <w:color w:val="auto"/>
          <w:sz w:val="30"/>
          <w:highlight w:val="none"/>
        </w:rPr>
      </w:pPr>
      <w:r/>
      <w:bookmarkStart w:id="51" w:name="_Toc33"/>
      <w:r>
        <w:rPr>
          <w:rFonts w:hint="eastAsia" w:ascii="宋体" w:hAnsi="宋体"/>
          <w:color w:val="auto"/>
          <w:sz w:val="30"/>
          <w:highlight w:val="none"/>
        </w:rPr>
        <w:t xml:space="preserve">18．磋商</w:t>
      </w:r>
      <w:bookmarkEnd w:id="51"/>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18.1磋商组织方将按磋商文件规定的时间、地点主持磋商。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18.2供应商应当在磋商前做好充分准备，使用制作该响应文件的同一数字认证证书准时参加磋商。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18.3</w:t>
      </w:r>
      <w:r>
        <w:rPr>
          <w:rFonts w:hint="eastAsia" w:ascii="宋体" w:hAnsi="宋体"/>
          <w:b/>
          <w:color w:val="auto"/>
          <w:sz w:val="24"/>
          <w:highlight w:val="none"/>
        </w:rPr>
        <w:t xml:space="preserve">供应商不足3家，不进入解密程序。</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18.4</w:t>
      </w:r>
      <w:r>
        <w:rPr>
          <w:rFonts w:hint="eastAsia" w:ascii="宋体" w:hAnsi="宋体"/>
          <w:b/>
          <w:color w:val="auto"/>
          <w:sz w:val="24"/>
          <w:highlight w:val="none"/>
        </w:rPr>
        <w:t xml:space="preserve">磋商时，磋商组织方将在系统内公布供应商名单，发出解密的指令，供应商自行实施解密，限定在主持人发布解密指令后</w:t>
      </w:r>
      <w:bookmarkStart w:id="52" w:name="EBaf33e81756a940b58c69ffadb3ca2432"/>
      <w:r>
        <w:rPr>
          <w:rFonts w:hint="eastAsia" w:ascii="宋体" w:hAnsi="宋体"/>
          <w:b/>
          <w:color w:val="auto"/>
          <w:sz w:val="24"/>
          <w:highlight w:val="none"/>
          <w:lang w:val="en-US" w:eastAsia="zh-CN"/>
        </w:rPr>
        <w:t xml:space="preserve">30</w:t>
      </w:r>
      <w:r>
        <w:rPr>
          <w:rFonts w:hint="eastAsia" w:ascii="宋体" w:hAnsi="宋体"/>
          <w:b/>
          <w:color w:val="auto"/>
          <w:sz w:val="24"/>
          <w:highlight w:val="none"/>
        </w:rPr>
        <w:t xml:space="preserve">分钟</w:t>
      </w:r>
      <w:bookmarkEnd w:id="52"/>
      <w:r>
        <w:rPr>
          <w:rFonts w:hint="eastAsia" w:ascii="宋体" w:hAnsi="宋体"/>
          <w:b/>
          <w:color w:val="auto"/>
          <w:sz w:val="24"/>
          <w:highlight w:val="none"/>
        </w:rPr>
        <w:t xml:space="preserve">内完成。解密时，供应商必须使用与制作响应文件时同一数字认证证书对响应文件进行解密，否则解密将会失败。</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18.5因供应商原因造成响应文件未解密或解密失败或无法正常打开响应文件的，磋商组织方将拒绝其响应。部分供应商的响应文件未解密或解密失败的，程序可以继续进行。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auto"/>
          <w:sz w:val="24"/>
          <w:highlight w:val="none"/>
        </w:rPr>
        <w:t xml:space="preserve">若解密成功的供应商不足三家，不进入后续程序。</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18.6本项目在限定的解密时间内，只要有任一家供应商解密成功，即视为电子交易平台运行无故障。</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18.7供应商须配合磋商工作，否则自行承担后果。</w:t>
      </w:r>
      <w:r/>
    </w:p>
    <w:p>
      <w:pPr>
        <w:pStyle w:val="844"/>
        <w:ind w:firstLine="446"/>
        <w:keepLines w:val="0"/>
        <w:keepNext w:val="0"/>
        <w:spacing w:before="200" w:after="200" w:line="360" w:lineRule="auto"/>
        <w:tabs>
          <w:tab w:val="left" w:pos="5191" w:leader="none"/>
        </w:tabs>
        <w:rPr>
          <w:rFonts w:ascii="宋体" w:hAnsi="宋体"/>
          <w:color w:val="auto"/>
          <w:sz w:val="30"/>
          <w:highlight w:val="none"/>
        </w:rPr>
      </w:pPr>
      <w:r/>
      <w:bookmarkStart w:id="53" w:name="_Toc34"/>
      <w:r>
        <w:rPr>
          <w:rFonts w:hint="eastAsia" w:ascii="宋体" w:hAnsi="宋体"/>
          <w:color w:val="auto"/>
          <w:sz w:val="30"/>
          <w:highlight w:val="none"/>
        </w:rPr>
        <w:t xml:space="preserve">19．磋商小组组成</w:t>
      </w:r>
      <w:bookmarkEnd w:id="5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19.1磋商小组将由采购人代表和评审专家组成，成员人数为3人或3人以上单数。</w:t>
      </w:r>
      <w:r/>
    </w:p>
    <w:p>
      <w:pPr>
        <w:pStyle w:val="844"/>
        <w:ind w:firstLine="446"/>
        <w:keepLines w:val="0"/>
        <w:keepNext w:val="0"/>
        <w:spacing w:before="200" w:after="200" w:line="360" w:lineRule="auto"/>
        <w:tabs>
          <w:tab w:val="left" w:pos="5191" w:leader="none"/>
        </w:tabs>
        <w:rPr>
          <w:rFonts w:ascii="宋体" w:hAnsi="宋体"/>
          <w:color w:val="auto"/>
          <w:sz w:val="30"/>
          <w:highlight w:val="none"/>
        </w:rPr>
      </w:pPr>
      <w:r/>
      <w:bookmarkStart w:id="54" w:name="_Toc35"/>
      <w:r>
        <w:rPr>
          <w:rFonts w:hint="eastAsia" w:ascii="宋体" w:hAnsi="宋体"/>
          <w:color w:val="auto"/>
          <w:sz w:val="30"/>
          <w:highlight w:val="none"/>
        </w:rPr>
        <w:t xml:space="preserve">20．无效磋商的情形</w:t>
      </w:r>
      <w:bookmarkEnd w:id="54"/>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供应商存在下列情况之一的，其磋商无效：</w:t>
      </w:r>
      <w:r/>
    </w:p>
    <w:p>
      <w:pPr>
        <w:ind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（1）响应文件未按磋商文件要求签署、盖章的；</w:t>
      </w:r>
      <w:r/>
    </w:p>
    <w:p>
      <w:pPr>
        <w:ind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（2）不具备磋商文件中规定的资格要求的；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（3）在磋商过程中未对磋商内容作出实质性变更、修改的情况下，首轮报价或最终报价超过磋商文件中规定的预算金额或最高限价的；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（4）响应文件含有采购人不能接受的附加条件的；</w:t>
      </w:r>
      <w:r/>
    </w:p>
    <w:p>
      <w:pPr>
        <w:ind w:firstLine="482"/>
        <w:spacing w:line="360" w:lineRule="auto"/>
        <w:rPr>
          <w:color w:val="auto"/>
          <w:highlight w:val="none"/>
        </w:rPr>
      </w:pPr>
      <w:r>
        <w:rPr>
          <w:rFonts w:hint="eastAsia" w:ascii="宋体" w:hAnsi="宋体"/>
          <w:b/>
          <w:color w:val="auto"/>
          <w:sz w:val="24"/>
          <w:highlight w:val="none"/>
          <w:u w:val="single"/>
        </w:rPr>
        <w:t xml:space="preserve">（5）不符合法律、法规和磋商文件规定的其它实质性条款（须经磋商小组半数以上同意）：</w:t>
      </w:r>
      <w:r/>
    </w:p>
    <w:p>
      <w:pPr>
        <w:spacing w:line="360" w:lineRule="auto"/>
        <w:rPr>
          <w:rFonts w:ascii="宋体" w:hAnsi="宋体"/>
          <w:color w:val="auto"/>
          <w:sz w:val="24"/>
          <w:szCs w:val="24"/>
          <w:highlight w:val="none"/>
        </w:rPr>
      </w:pPr>
      <w:r/>
      <w:bookmarkStart w:id="55" w:name="EB1a6133a9061749489c10f63f90f17fb6"/>
      <w:r>
        <w:rPr>
          <w:rFonts w:hint="eastAsia" w:ascii="宋体" w:hAnsi="宋体"/>
          <w:color w:val="auto"/>
          <w:sz w:val="24"/>
          <w:szCs w:val="24"/>
          <w:highlight w:val="none"/>
        </w:rPr>
        <w:t xml:space="preserve">（6）如有委托代理人，未提供供应商为其缴纳社保证明材料的；</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（7）不同供应商的法定代表人或单位负责人为同一人或者存在直接控股、管理关系的；</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信用中国”网站（www.creditchina.gov.cn）、中国政府采购网（www.ccgp.gov.cn）、“信用江苏”网站（http://credit.jiangsu.gov.cn/）查询结果为失信被执行人名单、重大税收违法案件当事人名单、政府采购严重违法失信行为名单的；</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（9）符合</w:t>
      </w: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文件前款第 </w:t>
      </w:r>
      <w:r>
        <w:rPr>
          <w:rFonts w:hint="eastAsia" w:ascii="宋体" w:hAnsi="宋体"/>
          <w:color w:val="auto"/>
          <w:sz w:val="24"/>
          <w:szCs w:val="24"/>
          <w:highlight w:val="none"/>
          <w:lang w:val="en-US" w:eastAsia="zh-CN"/>
        </w:rPr>
        <w:t xml:space="preserve">12</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 条规定的异常低价投标情形，即投标（响应）报价低于全部通过符合性审查供应商投标（</w:t>
      </w:r>
      <w:bookmarkStart w:id="117" w:name="_GoBack"/>
      <w:r/>
      <w:bookmarkEnd w:id="117"/>
      <w:r>
        <w:rPr>
          <w:rFonts w:hint="eastAsia" w:ascii="宋体" w:hAnsi="宋体"/>
          <w:color w:val="auto"/>
          <w:sz w:val="24"/>
          <w:szCs w:val="24"/>
          <w:highlight w:val="none"/>
        </w:rPr>
        <w:t xml:space="preserve">响应）报价平均值</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50%、低于通过符合性审查的次低报价供应商投标（响应）报价</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50%</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低于采购项目最高限价</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45%，或评审委员会基于专业判断</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认</w:t>
      </w:r>
      <w:r>
        <w:rPr>
          <w:rFonts w:hint="eastAsia" w:ascii="宋体" w:hAnsi="宋体"/>
          <w:color w:val="auto"/>
          <w:sz w:val="24"/>
          <w:szCs w:val="24"/>
          <w:highlight w:val="none"/>
          <w:lang w:eastAsia="zh-CN"/>
        </w:rPr>
        <w:t xml:space="preserve">为</w:t>
      </w:r>
      <w:r>
        <w:rPr>
          <w:rFonts w:hint="eastAsia" w:ascii="宋体" w:hAnsi="宋体"/>
          <w:color w:val="auto"/>
          <w:sz w:val="24"/>
          <w:szCs w:val="24"/>
          <w:highlight w:val="none"/>
        </w:rPr>
        <w:t xml:space="preserve">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（10）响应文件中提供了虚假或失实资料的；</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（11）不同供应商的响应文件出现了磋商小组认为不应当雷同的；</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（12）供应商存在串通磋商情形的；</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（13）未在提交截止时间前提交有效加密文件的；</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（14）由于供应商原因，未在规定时间内对响应文件进行有效解密的；由于供应商原因，未在规定时间内对响应文件进行有效解密的；由于供应商原因，未在规定时间内提交最后报价的；</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（15）对采购需求响应负偏离程度过大或过多，经评委会认定影响采购人实际使用的。</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（16）为本项目提供整体设计、规范编制或者项目管理、监理、检测等服务的；         </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（17）服务期有负偏离的；</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（18）加“★”项有负偏离的；</w:t>
      </w:r>
      <w:bookmarkEnd w:id="55"/>
      <w:r/>
    </w:p>
    <w:p>
      <w:pPr>
        <w:pStyle w:val="844"/>
        <w:ind w:firstLine="446"/>
        <w:keepLines w:val="0"/>
        <w:keepNext w:val="0"/>
        <w:spacing w:before="200" w:after="200" w:line="360" w:lineRule="auto"/>
        <w:tabs>
          <w:tab w:val="left" w:pos="5191" w:leader="none"/>
        </w:tabs>
        <w:rPr>
          <w:rFonts w:ascii="宋体" w:hAnsi="宋体"/>
          <w:color w:val="auto"/>
          <w:sz w:val="30"/>
          <w:highlight w:val="none"/>
        </w:rPr>
      </w:pPr>
      <w:r/>
      <w:bookmarkStart w:id="56" w:name="_Toc36"/>
      <w:r>
        <w:rPr>
          <w:rFonts w:hint="eastAsia" w:ascii="宋体" w:hAnsi="宋体"/>
          <w:color w:val="auto"/>
          <w:sz w:val="30"/>
          <w:highlight w:val="none"/>
        </w:rPr>
        <w:t xml:space="preserve">21．串通磋商的情形</w:t>
      </w:r>
      <w:bookmarkEnd w:id="5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有下列情形之一的，视为供应商串通磋商，磋商无效：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（1）不同供应商的响应文件由同一单位或者个人编制；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（2）不同供应商委托同一单位或者个人办理磋商事宜；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（3）不同供应商的响应文件载明的项目管理成员或者联系人员为同一人；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（4）不同供应商的响应文件异常一致或者磋商报价呈规律性差异；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（5）不同供应商的响应文件相互混装。</w:t>
      </w:r>
      <w:r/>
    </w:p>
    <w:p>
      <w:pPr>
        <w:pStyle w:val="844"/>
        <w:ind w:firstLine="446"/>
        <w:keepLines w:val="0"/>
        <w:keepNext w:val="0"/>
        <w:spacing w:before="200" w:after="200" w:line="360" w:lineRule="auto"/>
        <w:tabs>
          <w:tab w:val="left" w:pos="5191" w:leader="none"/>
        </w:tabs>
        <w:rPr>
          <w:rFonts w:ascii="宋体" w:hAnsi="宋体"/>
          <w:color w:val="auto"/>
          <w:sz w:val="30"/>
          <w:highlight w:val="none"/>
        </w:rPr>
      </w:pPr>
      <w:r/>
      <w:bookmarkStart w:id="57" w:name="_Toc37"/>
      <w:r>
        <w:rPr>
          <w:rFonts w:hint="eastAsia" w:ascii="宋体" w:hAnsi="宋体"/>
          <w:color w:val="auto"/>
          <w:sz w:val="30"/>
          <w:highlight w:val="none"/>
        </w:rPr>
        <w:t xml:space="preserve">22．响应文件的澄清</w:t>
      </w:r>
      <w:bookmarkEnd w:id="5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ind w:firstLine="482"/>
        <w:spacing w:line="360" w:lineRule="auto"/>
        <w:rPr>
          <w:rFonts w:ascii="宋体" w:hAnsi="宋体"/>
          <w:b/>
          <w:color w:val="auto"/>
          <w:sz w:val="24"/>
          <w:highlight w:val="none"/>
          <w:u w:val="single"/>
        </w:rPr>
      </w:pPr>
      <w:r/>
      <w:bookmarkStart w:id="58" w:name="EBfb0c5306d0964d8e9b4cf16afa8b8e29"/>
      <w:r>
        <w:rPr>
          <w:rFonts w:hint="eastAsia" w:ascii="宋体" w:hAnsi="宋体"/>
          <w:b/>
          <w:color w:val="auto"/>
          <w:sz w:val="24"/>
          <w:highlight w:val="none"/>
          <w:u w:val="single"/>
        </w:rPr>
        <w:t xml:space="preserve">☑</w:t>
      </w:r>
      <w:bookmarkEnd w:id="58"/>
      <w:r/>
      <w:bookmarkStart w:id="59" w:name="EBf85a74306ad848b688c4855eedfe1953"/>
      <w:r>
        <w:rPr>
          <w:rFonts w:hint="eastAsia" w:ascii="宋体" w:hAnsi="宋体"/>
          <w:b/>
          <w:color w:val="auto"/>
          <w:sz w:val="24"/>
          <w:highlight w:val="none"/>
          <w:u w:val="single"/>
        </w:rPr>
        <w:t xml:space="preserve">供应商可登录电子交易平台进入“答疑澄清”模块进行在线澄清，操作指南详见《苏采云系统供应商操作手册》（网址：http://www.ccgp-jiangsu.gov.cn/）。</w:t>
      </w:r>
      <w:bookmarkEnd w:id="59"/>
      <w:r/>
      <w:r/>
    </w:p>
    <w:p>
      <w:pPr>
        <w:pStyle w:val="844"/>
        <w:ind w:firstLine="446"/>
        <w:keepLines w:val="0"/>
        <w:keepNext w:val="0"/>
        <w:spacing w:before="200" w:after="200" w:line="360" w:lineRule="auto"/>
        <w:tabs>
          <w:tab w:val="left" w:pos="5191" w:leader="none"/>
        </w:tabs>
        <w:rPr>
          <w:rFonts w:ascii="宋体" w:hAnsi="宋体"/>
          <w:color w:val="auto"/>
          <w:sz w:val="30"/>
          <w:highlight w:val="none"/>
        </w:rPr>
      </w:pPr>
      <w:r/>
      <w:bookmarkStart w:id="60" w:name="_Toc38"/>
      <w:r>
        <w:rPr>
          <w:rFonts w:hint="eastAsia" w:ascii="宋体" w:hAnsi="宋体"/>
          <w:color w:val="auto"/>
          <w:sz w:val="30"/>
          <w:highlight w:val="none"/>
        </w:rPr>
        <w:t xml:space="preserve">23．磋商内容</w:t>
      </w:r>
      <w:bookmarkEnd w:id="6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23.1磋商小组与符合条件的供应商就磋商文件中的技术、服务要求及合同草案条款等进行磋商。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根据磋商文件和磋商情况作出的实质性变动是磋商文件的有效组成部分，磋商小组将及时在系统上以书面形式同时通知所有参加磋商的供应商。</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844"/>
        <w:ind w:firstLine="446"/>
        <w:keepLines w:val="0"/>
        <w:keepNext w:val="0"/>
        <w:spacing w:before="200" w:after="200" w:line="360" w:lineRule="auto"/>
        <w:tabs>
          <w:tab w:val="left" w:pos="5191" w:leader="none"/>
        </w:tabs>
        <w:rPr>
          <w:rFonts w:ascii="宋体" w:hAnsi="宋体"/>
          <w:color w:val="auto"/>
          <w:sz w:val="30"/>
          <w:highlight w:val="none"/>
        </w:rPr>
      </w:pPr>
      <w:r/>
      <w:bookmarkStart w:id="61" w:name="_Toc39"/>
      <w:r>
        <w:rPr>
          <w:rFonts w:hint="eastAsia" w:ascii="宋体" w:hAnsi="宋体"/>
          <w:color w:val="auto"/>
          <w:sz w:val="30"/>
          <w:highlight w:val="none"/>
        </w:rPr>
        <w:t xml:space="preserve">24．最后报价的提交</w:t>
      </w:r>
      <w:bookmarkEnd w:id="61"/>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24.1磋商文件能够详细列明采购标的的技术、服务要求的，磋商结束后，磋商小组应当要求所有实质性响应的供应商在</w:t>
      </w:r>
      <w:r>
        <w:rPr>
          <w:rFonts w:hint="eastAsia" w:ascii="宋体" w:hAnsi="宋体"/>
          <w:b/>
          <w:color w:val="auto"/>
          <w:sz w:val="24"/>
          <w:highlight w:val="none"/>
        </w:rPr>
        <w:t xml:space="preserve">规定时间</w:t>
      </w:r>
      <w:r>
        <w:rPr>
          <w:rFonts w:hint="eastAsia" w:ascii="宋体" w:hAnsi="宋体"/>
          <w:color w:val="auto"/>
          <w:sz w:val="24"/>
          <w:highlight w:val="none"/>
        </w:rPr>
        <w:t xml:space="preserve">内（</w:t>
      </w:r>
      <w:r>
        <w:rPr>
          <w:rFonts w:hint="eastAsia" w:ascii="宋体" w:hAnsi="宋体"/>
          <w:color w:val="auto"/>
          <w:sz w:val="24"/>
          <w:szCs w:val="24"/>
          <w:highlight w:val="none"/>
        </w:rPr>
        <w:t xml:space="preserve">磋商时如无法电话联系到的供应商视同放弃最终报价的权力，由此造成的不利后果由供应商自行承担</w:t>
      </w:r>
      <w:r>
        <w:rPr>
          <w:rFonts w:hint="eastAsia" w:ascii="宋体" w:hAnsi="宋体"/>
          <w:color w:val="auto"/>
          <w:sz w:val="24"/>
          <w:highlight w:val="none"/>
        </w:rPr>
        <w:t xml:space="preserve">）提交最后总报价和最后明细报价，提交最后报价的供应商不得少于3家。</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最后报价是供应商响应文件的有效组成部分。符合《政府采购竞争性磋商采购方式管理暂行办法》第三条第四项及本须知第25.2项情形的，提交最后报价的供应商可以为2家。</w:t>
      </w:r>
      <w:r/>
    </w:p>
    <w:p>
      <w:pPr>
        <w:pStyle w:val="844"/>
        <w:ind w:firstLine="446"/>
        <w:keepLines w:val="0"/>
        <w:keepNext w:val="0"/>
        <w:spacing w:before="200" w:after="200" w:line="360" w:lineRule="auto"/>
        <w:tabs>
          <w:tab w:val="left" w:pos="5191" w:leader="none"/>
        </w:tabs>
        <w:rPr>
          <w:rFonts w:ascii="宋体" w:hAnsi="宋体"/>
          <w:color w:val="auto"/>
          <w:sz w:val="30"/>
          <w:highlight w:val="none"/>
        </w:rPr>
      </w:pPr>
      <w:r/>
      <w:bookmarkStart w:id="62" w:name="_Toc40"/>
      <w:r>
        <w:rPr>
          <w:rFonts w:hint="eastAsia" w:ascii="宋体" w:hAnsi="宋体"/>
          <w:color w:val="auto"/>
          <w:sz w:val="30"/>
          <w:highlight w:val="none"/>
        </w:rPr>
        <w:t xml:space="preserve">25．</w:t>
      </w:r>
      <w:r>
        <w:rPr>
          <w:rFonts w:ascii="宋体" w:hAnsi="宋体"/>
          <w:color w:val="auto"/>
          <w:sz w:val="30"/>
          <w:highlight w:val="none"/>
        </w:rPr>
        <w:t xml:space="preserve">竞争性磋商</w:t>
      </w:r>
      <w:r>
        <w:rPr>
          <w:rFonts w:hint="eastAsia" w:ascii="宋体" w:hAnsi="宋体"/>
          <w:color w:val="auto"/>
          <w:sz w:val="30"/>
          <w:highlight w:val="none"/>
        </w:rPr>
        <w:t xml:space="preserve">特殊情况处理</w:t>
      </w:r>
      <w:bookmarkEnd w:id="6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25.1</w:t>
      </w:r>
      <w:r>
        <w:rPr>
          <w:rFonts w:ascii="宋体" w:hAnsi="宋体"/>
          <w:color w:val="auto"/>
          <w:sz w:val="24"/>
          <w:highlight w:val="none"/>
        </w:rPr>
        <w:t xml:space="preserve">出现下列情形之一的，应当终止竞争性磋商采购活动，发布项目终止公告并说明原因，重新开展采购活动：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因情况变化，不再符合规定的竞争性磋商采购方式适用情形的；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出现影响采购公正的违法、违规行为的</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25.3因重大变故，采购任务取消的则该磋商活动取消，采购人应当将取消理由通知所有供应商。</w:t>
      </w:r>
      <w:r/>
    </w:p>
    <w:p>
      <w:pPr>
        <w:pStyle w:val="843"/>
        <w:rPr>
          <w:rFonts w:ascii="宋体" w:hAnsi="宋体" w:eastAsia="宋体"/>
          <w:color w:val="auto"/>
          <w:sz w:val="32"/>
          <w:highlight w:val="none"/>
        </w:rPr>
      </w:pPr>
      <w:r/>
      <w:bookmarkStart w:id="63" w:name="_Toc41"/>
      <w:r>
        <w:rPr>
          <w:rFonts w:hint="eastAsia" w:ascii="宋体" w:hAnsi="宋体" w:eastAsia="宋体"/>
          <w:color w:val="auto"/>
          <w:sz w:val="32"/>
          <w:highlight w:val="none"/>
        </w:rPr>
        <w:t xml:space="preserve">五、确定成交结果</w:t>
      </w:r>
      <w:bookmarkEnd w:id="63"/>
      <w:r/>
      <w:r/>
    </w:p>
    <w:p>
      <w:pPr>
        <w:pStyle w:val="844"/>
        <w:ind w:firstLine="446"/>
        <w:keepLines w:val="0"/>
        <w:keepNext w:val="0"/>
        <w:spacing w:before="200" w:after="200" w:line="360" w:lineRule="auto"/>
        <w:tabs>
          <w:tab w:val="left" w:pos="5191" w:leader="none"/>
        </w:tabs>
        <w:rPr>
          <w:rFonts w:ascii="宋体" w:hAnsi="宋体"/>
          <w:color w:val="auto"/>
          <w:sz w:val="30"/>
          <w:highlight w:val="none"/>
        </w:rPr>
      </w:pPr>
      <w:r/>
      <w:bookmarkStart w:id="64" w:name="_Toc42"/>
      <w:r>
        <w:rPr>
          <w:rFonts w:hint="eastAsia" w:ascii="宋体" w:hAnsi="宋体"/>
          <w:color w:val="auto"/>
          <w:sz w:val="30"/>
          <w:highlight w:val="none"/>
        </w:rPr>
        <w:t xml:space="preserve">26．确定成交供应商</w:t>
      </w:r>
      <w:bookmarkEnd w:id="64"/>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26.1采购人从评审报告提出的成交候选供应商中，按照排序由高到低的原则确定成交供应商。</w:t>
      </w:r>
      <w:r/>
    </w:p>
    <w:p>
      <w:pPr>
        <w:pStyle w:val="843"/>
        <w:rPr>
          <w:rFonts w:ascii="宋体" w:hAnsi="宋体" w:eastAsia="宋体"/>
          <w:color w:val="auto"/>
          <w:sz w:val="32"/>
          <w:highlight w:val="none"/>
        </w:rPr>
      </w:pPr>
      <w:r/>
      <w:bookmarkStart w:id="65" w:name="_Toc43"/>
      <w:r>
        <w:rPr>
          <w:rFonts w:hint="eastAsia" w:ascii="宋体" w:hAnsi="宋体" w:eastAsia="宋体"/>
          <w:color w:val="auto"/>
          <w:sz w:val="32"/>
          <w:highlight w:val="none"/>
        </w:rPr>
        <w:t xml:space="preserve">六、授予合同</w:t>
      </w:r>
      <w:bookmarkEnd w:id="65"/>
      <w:r/>
      <w:r/>
    </w:p>
    <w:p>
      <w:pPr>
        <w:pStyle w:val="844"/>
        <w:ind w:firstLine="446"/>
        <w:keepLines w:val="0"/>
        <w:keepNext w:val="0"/>
        <w:spacing w:before="200" w:after="200" w:line="360" w:lineRule="auto"/>
        <w:tabs>
          <w:tab w:val="left" w:pos="5191" w:leader="none"/>
        </w:tabs>
        <w:rPr>
          <w:rFonts w:ascii="宋体" w:hAnsi="宋体"/>
          <w:color w:val="auto"/>
          <w:sz w:val="30"/>
          <w:highlight w:val="none"/>
        </w:rPr>
      </w:pPr>
      <w:r/>
      <w:bookmarkStart w:id="66" w:name="_Toc44"/>
      <w:r>
        <w:rPr>
          <w:rFonts w:hint="eastAsia" w:ascii="宋体" w:hAnsi="宋体"/>
          <w:color w:val="auto"/>
          <w:sz w:val="30"/>
          <w:highlight w:val="none"/>
        </w:rPr>
        <w:t xml:space="preserve">27．磋商组织方接受和拒绝任何或所有响应的权利</w:t>
      </w:r>
      <w:bookmarkEnd w:id="6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27.1为维护国家和社会公共利益，磋商组织方保留在授标之前任何时候接受或拒绝任何供应商成交的权利，且对受影响的供应商不承担任何责任。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27.2因不可抗力或成交供应商不能履约等情形，磋商组织方保留与其他候选供应商签订合同的权利。</w:t>
      </w:r>
      <w:r/>
    </w:p>
    <w:p>
      <w:pPr>
        <w:pStyle w:val="844"/>
        <w:ind w:firstLine="446"/>
        <w:keepLines w:val="0"/>
        <w:keepNext w:val="0"/>
        <w:spacing w:before="200" w:after="200" w:line="360" w:lineRule="auto"/>
        <w:tabs>
          <w:tab w:val="left" w:pos="5191" w:leader="none"/>
        </w:tabs>
        <w:rPr>
          <w:rFonts w:ascii="宋体" w:hAnsi="宋体"/>
          <w:color w:val="auto"/>
          <w:sz w:val="30"/>
          <w:highlight w:val="none"/>
        </w:rPr>
      </w:pPr>
      <w:r/>
      <w:bookmarkStart w:id="67" w:name="_Toc45"/>
      <w:r>
        <w:rPr>
          <w:rFonts w:hint="eastAsia" w:ascii="宋体" w:hAnsi="宋体"/>
          <w:color w:val="auto"/>
          <w:sz w:val="30"/>
          <w:highlight w:val="none"/>
        </w:rPr>
        <w:t xml:space="preserve">28．成交通知书</w:t>
      </w:r>
      <w:bookmarkEnd w:id="6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28.1自成交供应商确定之日起2个工作日内，磋商组织方向成交供应商发出中标通知书，同时编制发布采购结果公告。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28.2成交通知书发出后，采购人不得违法改变成交结果，成交供应商无正当理由不得放弃成交。</w:t>
      </w:r>
      <w:r/>
    </w:p>
    <w:p>
      <w:pPr>
        <w:pStyle w:val="844"/>
        <w:ind w:firstLine="446"/>
        <w:keepLines w:val="0"/>
        <w:keepNext w:val="0"/>
        <w:spacing w:before="200" w:after="200" w:line="360" w:lineRule="auto"/>
        <w:tabs>
          <w:tab w:val="left" w:pos="5191" w:leader="none"/>
        </w:tabs>
        <w:rPr>
          <w:rFonts w:ascii="宋体" w:hAnsi="宋体"/>
          <w:color w:val="auto"/>
          <w:sz w:val="30"/>
          <w:highlight w:val="none"/>
        </w:rPr>
      </w:pPr>
      <w:r/>
      <w:bookmarkStart w:id="68" w:name="_Toc46"/>
      <w:r>
        <w:rPr>
          <w:rFonts w:hint="eastAsia" w:ascii="宋体" w:hAnsi="宋体"/>
          <w:color w:val="auto"/>
          <w:sz w:val="30"/>
          <w:highlight w:val="none"/>
        </w:rPr>
        <w:t xml:space="preserve">29．签订合同</w:t>
      </w:r>
      <w:bookmarkEnd w:id="6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29.1采购人应当自成交通知书发出之日起</w:t>
      </w:r>
      <w:bookmarkStart w:id="69" w:name="EB51d9b032aa7249af80d45424dadc155d"/>
      <w:r>
        <w:rPr>
          <w:rFonts w:hint="eastAsia" w:ascii="宋体" w:hAnsi="宋体"/>
          <w:color w:val="auto"/>
          <w:sz w:val="24"/>
          <w:highlight w:val="none"/>
        </w:rPr>
        <w:t xml:space="preserve">15日</w:t>
      </w:r>
      <w:bookmarkEnd w:id="69"/>
      <w:r>
        <w:rPr>
          <w:rFonts w:hint="eastAsia" w:ascii="宋体" w:hAnsi="宋体"/>
          <w:color w:val="auto"/>
          <w:sz w:val="24"/>
          <w:highlight w:val="none"/>
        </w:rPr>
        <w:t xml:space="preserve">内，按照磋商文件、成交供应商磋商响应文件以及磋商过程中确定的事项，与成交供应商签订政府采购合同。采购人不得向成交人提出任何不合理的要求作为签订合同的条件。磋商文件、成交供应商的磋商响应文件、澄清文件、成交通知书，均为签订合同的依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29.2成交供应商拒绝与采购人签订合同的，采购人可以按照评审报告推荐的中标人名单排序，确定下一候选人为成交供应商，也可以重新开展政府采购活动。成交供应商无正当理由拒不与采购人签订合同的，报政府采购监管部门依法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29.3政府采购合同应当包括采购人与成交人的名称和住所、标的、数量、质量、价款或者报酬、履行期限及地点和方式、验收要求、违约责任、解决争议的方法等内容。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29.4采购人应当自采购合同签订之日起2个工作日内，将政府采购合同在政府采购指定媒体予以公告。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29.5合同履行中，采购人需追加与合同标的相同的服务时，在不改变合同其他条款的前提下，可以与成交供应商协商签订补充合同，但所有补充合同的采购金额不得超过原合同采购金额的百分之十。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29.6采购结束后，采购人若由于各种客观原因，必须对采购项目所牵涉的货物和服务进行适当的减少时，在双方协商一致的前提下，可以按照磋商采购时的价格水平做相应的调减，并据此签订补充合同。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29.7采购人与成交人应当根据合同的约定依法履行合同义务。政府采购合同的履行、违约责任和解决争议的方法等适用</w:t>
      </w:r>
      <w:bookmarkStart w:id="70" w:name="EB756a2e5eaf4942b0afe0c5074e4df86a"/>
      <w:r>
        <w:rPr>
          <w:rFonts w:hint="eastAsia" w:ascii="宋体" w:hAnsi="宋体"/>
          <w:color w:val="auto"/>
          <w:sz w:val="24"/>
          <w:highlight w:val="none"/>
        </w:rPr>
        <w:t xml:space="preserve">《中华人民共和国民法典》</w:t>
      </w:r>
      <w:bookmarkEnd w:id="70"/>
      <w:r>
        <w:rPr>
          <w:rFonts w:hint="eastAsia" w:ascii="宋体" w:hAnsi="宋体"/>
          <w:color w:val="auto"/>
          <w:sz w:val="24"/>
          <w:highlight w:val="none"/>
        </w:rPr>
        <w:t xml:space="preserve">。</w:t>
      </w:r>
      <w:r/>
    </w:p>
    <w:p>
      <w:pPr>
        <w:pStyle w:val="844"/>
        <w:ind w:firstLine="446"/>
        <w:keepLines w:val="0"/>
        <w:keepNext w:val="0"/>
        <w:spacing w:before="200" w:after="200" w:line="360" w:lineRule="auto"/>
        <w:tabs>
          <w:tab w:val="left" w:pos="5191" w:leader="none"/>
        </w:tabs>
        <w:rPr>
          <w:rFonts w:ascii="宋体" w:hAnsi="宋体"/>
          <w:color w:val="auto"/>
          <w:sz w:val="30"/>
          <w:highlight w:val="none"/>
        </w:rPr>
      </w:pPr>
      <w:r/>
      <w:bookmarkStart w:id="71" w:name="_Toc47"/>
      <w:r>
        <w:rPr>
          <w:rFonts w:hint="eastAsia" w:ascii="宋体" w:hAnsi="宋体"/>
          <w:color w:val="auto"/>
          <w:sz w:val="30"/>
          <w:highlight w:val="none"/>
        </w:rPr>
        <w:t xml:space="preserve">30．履约保证金</w:t>
      </w:r>
      <w:bookmarkEnd w:id="71"/>
      <w:r/>
      <w:r/>
    </w:p>
    <w:p>
      <w:pPr>
        <w:ind w:firstLine="482"/>
        <w:spacing w:line="360" w:lineRule="auto"/>
        <w:rPr>
          <w:rFonts w:ascii="宋体" w:hAnsi="宋体"/>
          <w:color w:val="auto"/>
          <w:sz w:val="24"/>
          <w:highlight w:val="none"/>
        </w:rPr>
      </w:pPr>
      <w:r>
        <w:rPr>
          <w:rFonts w:hint="eastAsia" w:ascii="宋体" w:hAnsi="宋体"/>
          <w:color w:val="auto"/>
          <w:sz w:val="24"/>
          <w:highlight w:val="none"/>
        </w:rPr>
        <w:t xml:space="preserve">30.1☑本项目不收取履约保证金</w:t>
      </w:r>
      <w:r/>
    </w:p>
    <w:p>
      <w:pPr>
        <w:ind w:firstLine="482"/>
        <w:spacing w:line="360" w:lineRule="auto"/>
        <w:rPr>
          <w:rFonts w:ascii="宋体" w:hAnsi="宋体"/>
          <w:color w:val="auto"/>
          <w:sz w:val="24"/>
          <w:highlight w:val="none"/>
        </w:rPr>
      </w:pPr>
      <w:r>
        <w:rPr>
          <w:rFonts w:hint="eastAsia" w:ascii="宋体" w:hAnsi="宋体"/>
          <w:color w:val="auto"/>
          <w:sz w:val="24"/>
          <w:highlight w:val="none"/>
        </w:rPr>
        <w:t xml:space="preserve">□本项目中标供应商应提交合同金额XX%的履约保证金（不得超过政府采购合同金额的10%），履约保证金应以支票、汇票、本票、保函、保险保单等非现金形式缴纳或提交。</w:t>
      </w:r>
      <w:r/>
    </w:p>
    <w:p>
      <w:pPr>
        <w:ind w:firstLine="482"/>
        <w:spacing w:line="360" w:lineRule="auto"/>
        <w:rPr>
          <w:rFonts w:ascii="宋体" w:hAnsi="宋体"/>
          <w:color w:val="auto"/>
          <w:sz w:val="24"/>
          <w:highlight w:val="none"/>
        </w:rPr>
      </w:pPr>
      <w:r>
        <w:rPr>
          <w:rFonts w:hint="eastAsia" w:ascii="宋体" w:hAnsi="宋体"/>
          <w:color w:val="auto"/>
          <w:sz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2"/>
        <w:spacing w:line="360" w:lineRule="auto"/>
        <w:rPr>
          <w:rFonts w:ascii="宋体" w:hAnsi="宋体"/>
          <w:color w:val="auto"/>
          <w:sz w:val="24"/>
          <w:highlight w:val="none"/>
        </w:rPr>
      </w:pPr>
      <w:r>
        <w:rPr>
          <w:rFonts w:hint="eastAsia" w:ascii="宋体" w:hAnsi="宋体"/>
          <w:color w:val="auto"/>
          <w:sz w:val="24"/>
          <w:highlight w:val="none"/>
        </w:rPr>
        <w:t xml:space="preserve">履约保证金退还的条件： </w:t>
      </w:r>
      <w:r/>
    </w:p>
    <w:p>
      <w:pPr>
        <w:ind w:firstLine="482"/>
        <w:spacing w:line="360" w:lineRule="auto"/>
        <w:rPr>
          <w:rFonts w:ascii="宋体" w:hAnsi="宋体"/>
          <w:color w:val="auto"/>
          <w:sz w:val="24"/>
          <w:highlight w:val="none"/>
        </w:rPr>
      </w:pPr>
      <w:r>
        <w:rPr>
          <w:rFonts w:hint="eastAsia" w:ascii="宋体" w:hAnsi="宋体"/>
          <w:color w:val="auto"/>
          <w:sz w:val="24"/>
          <w:highlight w:val="none"/>
        </w:rPr>
        <w:t xml:space="preserve">货物类项目，项目验收合格，出具验收报告及履约保证金收据申请退付；</w:t>
      </w:r>
      <w:r/>
    </w:p>
    <w:p>
      <w:pPr>
        <w:ind w:firstLine="482"/>
        <w:spacing w:line="360" w:lineRule="auto"/>
        <w:rPr>
          <w:rFonts w:ascii="宋体" w:hAnsi="宋体"/>
          <w:color w:val="auto"/>
          <w:sz w:val="24"/>
          <w:highlight w:val="none"/>
        </w:rPr>
      </w:pPr>
      <w:r>
        <w:rPr>
          <w:rFonts w:hint="eastAsia" w:ascii="宋体" w:hAnsi="宋体"/>
          <w:color w:val="auto"/>
          <w:sz w:val="24"/>
          <w:highlight w:val="none"/>
        </w:rPr>
        <w:t xml:space="preserve">履约保证金退还时间：采购单位收到投标人退付申请后5个工作日内退还；</w:t>
      </w:r>
      <w:r/>
    </w:p>
    <w:p>
      <w:pPr>
        <w:ind w:firstLine="482"/>
        <w:spacing w:line="360" w:lineRule="auto"/>
        <w:rPr>
          <w:rFonts w:ascii="宋体" w:hAnsi="宋体"/>
          <w:color w:val="auto"/>
          <w:sz w:val="24"/>
          <w:highlight w:val="none"/>
        </w:rPr>
      </w:pPr>
      <w:r>
        <w:rPr>
          <w:rFonts w:hint="eastAsia" w:ascii="宋体" w:hAnsi="宋体"/>
          <w:color w:val="auto"/>
          <w:sz w:val="24"/>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2"/>
        <w:spacing w:line="360" w:lineRule="auto"/>
        <w:rPr>
          <w:rFonts w:ascii="宋体" w:hAnsi="宋体"/>
          <w:color w:val="auto"/>
          <w:sz w:val="24"/>
          <w:highlight w:val="none"/>
        </w:rPr>
      </w:pPr>
      <w:r>
        <w:rPr>
          <w:rFonts w:hint="eastAsia" w:ascii="宋体" w:hAnsi="宋体"/>
          <w:color w:val="auto"/>
          <w:sz w:val="24"/>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2"/>
        <w:spacing w:line="360" w:lineRule="auto"/>
        <w:rPr>
          <w:rFonts w:ascii="宋体" w:hAnsi="宋体"/>
          <w:color w:val="auto"/>
          <w:sz w:val="24"/>
          <w:highlight w:val="none"/>
        </w:rPr>
      </w:pPr>
      <w:r>
        <w:rPr>
          <w:rFonts w:hint="eastAsia" w:ascii="宋体" w:hAnsi="宋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843"/>
        <w:rPr>
          <w:rFonts w:ascii="宋体" w:hAnsi="宋体" w:eastAsia="宋体"/>
          <w:color w:val="auto"/>
          <w:sz w:val="32"/>
          <w:highlight w:val="none"/>
        </w:rPr>
      </w:pPr>
      <w:r/>
      <w:bookmarkStart w:id="72" w:name="_Toc48"/>
      <w:r>
        <w:rPr>
          <w:rFonts w:hint="eastAsia" w:ascii="宋体" w:hAnsi="宋体" w:eastAsia="宋体"/>
          <w:color w:val="auto"/>
          <w:sz w:val="32"/>
          <w:highlight w:val="none"/>
        </w:rPr>
        <w:t xml:space="preserve">七、询问、质疑、投诉</w:t>
      </w:r>
      <w:bookmarkEnd w:id="72"/>
      <w:r/>
      <w:r/>
    </w:p>
    <w:p>
      <w:pPr>
        <w:pStyle w:val="844"/>
        <w:ind w:firstLine="446"/>
        <w:keepLines w:val="0"/>
        <w:keepNext w:val="0"/>
        <w:spacing w:before="200" w:after="200" w:line="360" w:lineRule="auto"/>
        <w:tabs>
          <w:tab w:val="left" w:pos="5191" w:leader="none"/>
        </w:tabs>
        <w:rPr>
          <w:rFonts w:ascii="宋体" w:hAnsi="宋体"/>
          <w:color w:val="auto"/>
          <w:sz w:val="30"/>
          <w:highlight w:val="none"/>
        </w:rPr>
      </w:pPr>
      <w:r/>
      <w:bookmarkStart w:id="73" w:name="_Toc49"/>
      <w:r>
        <w:rPr>
          <w:rFonts w:hint="eastAsia" w:ascii="宋体" w:hAnsi="宋体"/>
          <w:color w:val="auto"/>
          <w:sz w:val="30"/>
          <w:highlight w:val="none"/>
        </w:rPr>
        <w:t xml:space="preserve">31．询问</w:t>
      </w:r>
      <w:bookmarkEnd w:id="73"/>
      <w:r/>
      <w:r/>
    </w:p>
    <w:p>
      <w:pPr>
        <w:ind w:firstLine="600"/>
        <w:spacing w:line="360" w:lineRule="auto"/>
        <w:rPr>
          <w:rFonts w:ascii="宋体" w:hAnsi="宋体"/>
          <w:color w:val="auto"/>
          <w:sz w:val="24"/>
          <w:highlight w:val="none"/>
        </w:rPr>
      </w:pPr>
      <w:r>
        <w:rPr>
          <w:rFonts w:hint="eastAsia" w:ascii="宋体" w:hAnsi="宋体"/>
          <w:color w:val="auto"/>
          <w:sz w:val="24"/>
          <w:highlight w:val="none"/>
        </w:rPr>
        <w:t xml:space="preserve">供应商对磋商活动事项有疑问的，可以向采购人或磋商组织方提出询问，采购人或磋商组织方将依法作出答复，但答复的内容不得涉及商业秘密。</w:t>
      </w:r>
      <w:r/>
    </w:p>
    <w:p>
      <w:pPr>
        <w:pStyle w:val="844"/>
        <w:ind w:firstLine="446"/>
        <w:keepLines w:val="0"/>
        <w:keepNext w:val="0"/>
        <w:spacing w:before="200" w:after="200" w:line="360" w:lineRule="auto"/>
        <w:tabs>
          <w:tab w:val="left" w:pos="5191" w:leader="none"/>
        </w:tabs>
        <w:rPr>
          <w:rFonts w:ascii="宋体" w:hAnsi="宋体"/>
          <w:color w:val="auto"/>
          <w:sz w:val="30"/>
          <w:highlight w:val="none"/>
        </w:rPr>
      </w:pPr>
      <w:r/>
      <w:bookmarkStart w:id="74" w:name="_Toc50"/>
      <w:r>
        <w:rPr>
          <w:rFonts w:hint="eastAsia" w:ascii="宋体" w:hAnsi="宋体"/>
          <w:color w:val="auto"/>
          <w:sz w:val="30"/>
          <w:highlight w:val="none"/>
        </w:rPr>
        <w:t xml:space="preserve">32．质疑</w:t>
      </w:r>
      <w:bookmarkEnd w:id="7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32.1 提出质疑的供应商应当是参与所质疑项目采购活动的供应商。潜在供应商已依法获取其可质疑的磋商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以上规定的供应商应知其权益受到损害之日，是指：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（1）对可以质疑的采购文件提出质疑的，为收到采购文件之日或者采购文件公告期限届满之日；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（2）对采购过程提出质疑的，为各采购程序环节结束之日；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（3）对成交结果提出质疑的，为成交结果公告期限届满之日。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磋商文件第一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32.4采购人不得拒收质疑供应商在法定质疑期内发出的质疑函，应当在收到质疑函后7个工作日内作出答复，并以书面形式通知质疑供应商和其他有关供应商。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32.5本项目采购人及丹阳市政府采购中心只接收以纸质原件形式送达的质疑。（本项目采购人及丹阳市政府采购中心不接受未填写快递运单的快件）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接收部门:丹阳市政府采购中心</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接收地址:丹阳市开发区兰陵路88号四楼</w:t>
      </w:r>
      <w:r/>
    </w:p>
    <w:p>
      <w:pPr>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联系人：</w:t>
      </w:r>
      <w:r>
        <w:rPr>
          <w:rFonts w:hint="eastAsia" w:ascii="宋体" w:hAnsi="宋体"/>
          <w:color w:val="auto"/>
          <w:sz w:val="24"/>
          <w:highlight w:val="none"/>
          <w:lang w:eastAsia="zh-CN"/>
        </w:rPr>
        <w:t xml:space="preserve">王东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联系电话:0511-86906230</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32.6以下情形的质疑不予受理：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32.6.1内容不符合《政府采购质疑和投诉办法》第十二条规定的质疑。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32.6.2超出政府采购法定期限的质疑。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32.6.3以传真、电子邮件等方式递交的非原件形式的质疑。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32.6.4未参加投标活动的供应商或在投标活动中自身权益未受到损害的供应商所提出的质疑。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32.6.5供应商组成联合体参加投标，联合体中任何一方或多方未按要求签字、盖章、加盖公章的质疑。</w:t>
      </w:r>
      <w:r/>
    </w:p>
    <w:p>
      <w:pPr>
        <w:pStyle w:val="844"/>
        <w:ind w:firstLine="446"/>
        <w:keepLines w:val="0"/>
        <w:keepNext w:val="0"/>
        <w:spacing w:before="200" w:after="200" w:line="360" w:lineRule="auto"/>
        <w:tabs>
          <w:tab w:val="left" w:pos="5191" w:leader="none"/>
        </w:tabs>
        <w:rPr>
          <w:rFonts w:ascii="宋体" w:hAnsi="宋体"/>
          <w:color w:val="auto"/>
          <w:sz w:val="30"/>
          <w:highlight w:val="none"/>
        </w:rPr>
      </w:pPr>
      <w:r/>
      <w:bookmarkStart w:id="75" w:name="_Toc51"/>
      <w:r>
        <w:rPr>
          <w:rFonts w:hint="eastAsia" w:ascii="宋体" w:hAnsi="宋体"/>
          <w:color w:val="auto"/>
          <w:sz w:val="30"/>
          <w:highlight w:val="none"/>
        </w:rPr>
        <w:t xml:space="preserve">33．投诉</w:t>
      </w:r>
      <w:bookmarkEnd w:id="7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33.1质疑供应商对采购人、磋商组织方的答复不满意，或者采购人、磋商组织方未在规定的时间内作出答复的，可以在答复期满后十五个工作日内向采购人所属预算级次本级政府采购监管部门投诉。</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33.2以联合体形式参加政府采购活动的，其投诉应当由组成联合体的所有供应商共同提出。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33.3投诉流程及注意事项见“镇江市公共资源交易服务平台—政府采购”网站“投诉指引”。</w:t>
      </w:r>
      <w:r/>
    </w:p>
    <w:p>
      <w:pPr>
        <w:pStyle w:val="843"/>
        <w:rPr>
          <w:rFonts w:ascii="宋体" w:hAnsi="宋体" w:eastAsia="宋体"/>
          <w:color w:val="auto"/>
          <w:sz w:val="32"/>
          <w:highlight w:val="none"/>
        </w:rPr>
      </w:pPr>
      <w:r/>
      <w:bookmarkStart w:id="76" w:name="_Toc52"/>
      <w:r>
        <w:rPr>
          <w:rFonts w:hint="eastAsia" w:ascii="宋体" w:hAnsi="宋体" w:eastAsia="宋体"/>
          <w:color w:val="auto"/>
          <w:sz w:val="32"/>
          <w:highlight w:val="none"/>
        </w:rPr>
        <w:t xml:space="preserve">八、诚实信用和解释权</w:t>
      </w:r>
      <w:bookmarkEnd w:id="76"/>
      <w:r/>
      <w:r/>
    </w:p>
    <w:p>
      <w:pPr>
        <w:pStyle w:val="844"/>
        <w:ind w:firstLine="446"/>
        <w:keepLines w:val="0"/>
        <w:keepNext w:val="0"/>
        <w:spacing w:before="200" w:after="200" w:line="360" w:lineRule="auto"/>
        <w:tabs>
          <w:tab w:val="left" w:pos="5191" w:leader="none"/>
        </w:tabs>
        <w:rPr>
          <w:rFonts w:ascii="宋体" w:hAnsi="宋体"/>
          <w:color w:val="auto"/>
          <w:sz w:val="30"/>
          <w:highlight w:val="none"/>
        </w:rPr>
      </w:pPr>
      <w:r/>
      <w:bookmarkStart w:id="77" w:name="_Toc53"/>
      <w:r>
        <w:rPr>
          <w:rFonts w:hint="eastAsia" w:ascii="宋体" w:hAnsi="宋体"/>
          <w:color w:val="auto"/>
          <w:sz w:val="30"/>
          <w:highlight w:val="none"/>
        </w:rPr>
        <w:t xml:space="preserve">34．诚实信用</w:t>
      </w:r>
      <w:bookmarkEnd w:id="7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34.1供应商之间不得相互串通磋商报价，不得妨碍其他供应商的公平竞争，不得损害采购人和其他供应商的合法权益。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34.2供应商不得以向磋商组织方工作人员、磋商小组成员行贿或者采取其他不正当手段谋取成交。经查实供应商有此行为的，将在“镇江市公共资源交易服务平台-政府采购”网站公告，政府采购管理部门将供应商列入不良行为记录名单，按照政府采购有关规定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34.3供应商不得虚假承诺，否则，按照提供虚假材料谋取中标/成交处理。</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34</w:t>
      </w:r>
      <w:r>
        <w:rPr>
          <w:rFonts w:ascii="宋体" w:hAnsi="宋体"/>
          <w:color w:val="auto"/>
          <w:sz w:val="24"/>
          <w:highlight w:val="none"/>
        </w:rPr>
        <w:t xml:space="preserve">.4供应商应自觉遵守</w:t>
      </w:r>
      <w:r>
        <w:rPr>
          <w:rFonts w:hint="eastAsia" w:ascii="宋体" w:hAnsi="宋体"/>
          <w:color w:val="auto"/>
          <w:sz w:val="24"/>
          <w:highlight w:val="none"/>
        </w:rPr>
        <w:t xml:space="preserve">磋商</w:t>
      </w:r>
      <w:r>
        <w:rPr>
          <w:rFonts w:ascii="宋体" w:hAnsi="宋体"/>
          <w:color w:val="auto"/>
          <w:sz w:val="24"/>
          <w:highlight w:val="none"/>
        </w:rPr>
        <w:t xml:space="preserve">纪律，扰乱</w:t>
      </w:r>
      <w:r>
        <w:rPr>
          <w:rFonts w:hint="eastAsia" w:ascii="宋体" w:hAnsi="宋体"/>
          <w:color w:val="auto"/>
          <w:sz w:val="24"/>
          <w:highlight w:val="none"/>
        </w:rPr>
        <w:t xml:space="preserve">磋商</w:t>
      </w:r>
      <w:r>
        <w:rPr>
          <w:rFonts w:ascii="宋体" w:hAnsi="宋体"/>
          <w:color w:val="auto"/>
          <w:sz w:val="24"/>
          <w:highlight w:val="none"/>
        </w:rPr>
        <w:t xml:space="preserve">现场秩序的，属于失信行为，根据《江苏省政府采购供应商监督管理暂行办法》，失信行为将被记入供应商诚信档案。</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34</w:t>
      </w:r>
      <w:r>
        <w:rPr>
          <w:rFonts w:ascii="宋体" w:hAnsi="宋体"/>
          <w:color w:val="auto"/>
          <w:sz w:val="24"/>
          <w:highlight w:val="none"/>
        </w:rPr>
        <w:t xml:space="preserve">.5</w:t>
      </w:r>
      <w:r>
        <w:rPr>
          <w:rFonts w:hint="eastAsia" w:ascii="宋体" w:hAnsi="宋体"/>
          <w:color w:val="auto"/>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宋体" w:hAnsi="宋体"/>
          <w:color w:val="auto"/>
          <w:sz w:val="24"/>
          <w:highlight w:val="none"/>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44"/>
        <w:ind w:firstLine="446"/>
        <w:keepLines w:val="0"/>
        <w:keepNext w:val="0"/>
        <w:spacing w:before="200" w:after="200" w:line="360" w:lineRule="auto"/>
        <w:tabs>
          <w:tab w:val="left" w:pos="5191" w:leader="none"/>
        </w:tabs>
        <w:rPr>
          <w:rFonts w:ascii="宋体" w:hAnsi="宋体"/>
          <w:color w:val="auto"/>
          <w:sz w:val="30"/>
          <w:highlight w:val="none"/>
        </w:rPr>
      </w:pPr>
      <w:r/>
      <w:bookmarkStart w:id="78" w:name="_Toc54"/>
      <w:r>
        <w:rPr>
          <w:rFonts w:hint="eastAsia" w:ascii="宋体" w:hAnsi="宋体"/>
          <w:color w:val="auto"/>
          <w:sz w:val="30"/>
          <w:highlight w:val="none"/>
        </w:rPr>
        <w:t xml:space="preserve">35．解释权</w:t>
      </w:r>
      <w:bookmarkEnd w:id="7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35.1除相关法律、法规规定外，本磋商文件的解释权归采购代理机构所有。</w:t>
      </w:r>
      <w:r/>
    </w:p>
    <w:p>
      <w:pPr>
        <w:pStyle w:val="844"/>
        <w:ind w:firstLine="446"/>
        <w:keepLines w:val="0"/>
        <w:keepNext w:val="0"/>
        <w:spacing w:before="200" w:after="200" w:line="360" w:lineRule="auto"/>
        <w:tabs>
          <w:tab w:val="left" w:pos="5191" w:leader="none"/>
        </w:tabs>
        <w:rPr>
          <w:rFonts w:ascii="宋体" w:hAnsi="宋体"/>
          <w:color w:val="auto"/>
          <w:sz w:val="30"/>
          <w:highlight w:val="none"/>
        </w:rPr>
      </w:pPr>
      <w:r/>
      <w:bookmarkStart w:id="79" w:name="_Toc55"/>
      <w:r>
        <w:rPr>
          <w:rFonts w:hint="eastAsia" w:ascii="宋体" w:hAnsi="宋体"/>
          <w:color w:val="auto"/>
          <w:sz w:val="30"/>
          <w:highlight w:val="none"/>
        </w:rPr>
        <w:t xml:space="preserve">36．适用法律及约束力</w:t>
      </w:r>
      <w:bookmarkEnd w:id="7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36.1</w:t>
      </w:r>
      <w:r>
        <w:rPr>
          <w:rFonts w:hint="eastAsia" w:ascii="宋体" w:hAnsi="宋体"/>
          <w:b/>
          <w:color w:val="auto"/>
          <w:sz w:val="24"/>
          <w:highlight w:val="none"/>
        </w:rPr>
        <w:t xml:space="preserve">供应商一旦获取了本磋商文件并参加磋商，即被认为接受了本磋商文件的规定和约束。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36.2本次采购及由本次采购产生的合同受中华人民共和国法律制约和保护。</w:t>
      </w:r>
      <w:r/>
    </w:p>
    <w:p>
      <w:pPr>
        <w:jc w:val="left"/>
        <w:widowControl/>
        <w:rPr>
          <w:rFonts w:ascii="宋体" w:hAnsi="宋体"/>
          <w:b/>
          <w:color w:val="auto"/>
          <w:sz w:val="36"/>
          <w:highlight w:val="none"/>
        </w:rPr>
      </w:pPr>
      <w:r>
        <w:rPr>
          <w:rFonts w:ascii="宋体" w:hAnsi="宋体"/>
          <w:b/>
          <w:color w:val="auto"/>
          <w:sz w:val="36"/>
          <w:highlight w:val="none"/>
        </w:rPr>
      </w:r>
      <w:r/>
    </w:p>
    <w:p>
      <w:pPr>
        <w:pStyle w:val="842"/>
        <w:jc w:val="center"/>
        <w:rPr>
          <w:rFonts w:ascii="宋体" w:hAnsi="宋体"/>
          <w:color w:val="auto"/>
          <w:sz w:val="36"/>
          <w:highlight w:val="none"/>
        </w:rPr>
      </w:pPr>
      <w:r/>
      <w:bookmarkStart w:id="80" w:name="_Toc56"/>
      <w:r>
        <w:rPr>
          <w:rFonts w:ascii="宋体" w:hAnsi="宋体"/>
          <w:color w:val="auto"/>
          <w:sz w:val="36"/>
          <w:highlight w:val="none"/>
        </w:rPr>
        <w:br w:type="page" w:clear="all"/>
      </w:r>
      <w:r>
        <w:rPr>
          <w:rFonts w:hint="eastAsia" w:ascii="宋体" w:hAnsi="宋体"/>
          <w:color w:val="auto"/>
          <w:sz w:val="36"/>
          <w:highlight w:val="none"/>
        </w:rPr>
        <w:t xml:space="preserve">第三部分  合同主要条款</w:t>
      </w:r>
      <w:bookmarkEnd w:id="80"/>
      <w:r/>
      <w:r/>
    </w:p>
    <w:p>
      <w:pPr>
        <w:rPr>
          <w:color w:val="auto"/>
          <w:sz w:val="24"/>
          <w:szCs w:val="24"/>
          <w:highlight w:val="none"/>
        </w:rPr>
      </w:pPr>
      <w:r>
        <w:rPr>
          <w:color w:val="auto"/>
          <w:sz w:val="24"/>
          <w:szCs w:val="24"/>
          <w:highlight w:val="none"/>
        </w:rPr>
      </w:r>
      <w:r/>
    </w:p>
    <w:p>
      <w:pPr>
        <w:ind w:firstLine="720"/>
        <w:jc w:val="center"/>
        <w:rPr>
          <w:rFonts w:eastAsia="黑体"/>
          <w:color w:val="auto"/>
          <w:sz w:val="36"/>
          <w:szCs w:val="36"/>
          <w:highlight w:val="none"/>
        </w:rPr>
      </w:pPr>
      <w:r>
        <w:rPr>
          <w:rFonts w:hint="eastAsia" w:eastAsia="黑体"/>
          <w:color w:val="auto"/>
          <w:sz w:val="36"/>
          <w:szCs w:val="36"/>
          <w:highlight w:val="none"/>
        </w:rPr>
        <w:t xml:space="preserve">政府采购合同参考范本</w:t>
      </w:r>
      <w:r/>
    </w:p>
    <w:p>
      <w:pPr>
        <w:ind w:firstLine="720"/>
        <w:jc w:val="center"/>
        <w:rPr>
          <w:rFonts w:eastAsia="黑体"/>
          <w:color w:val="auto"/>
          <w:sz w:val="36"/>
          <w:szCs w:val="36"/>
          <w:highlight w:val="none"/>
        </w:rPr>
      </w:pPr>
      <w:r>
        <w:rPr>
          <w:rFonts w:eastAsia="黑体"/>
          <w:color w:val="auto"/>
          <w:sz w:val="36"/>
          <w:szCs w:val="36"/>
          <w:highlight w:val="none"/>
        </w:rPr>
      </w:r>
      <w:r/>
    </w:p>
    <w:p>
      <w:pPr>
        <w:ind w:firstLine="720"/>
        <w:jc w:val="center"/>
        <w:rPr>
          <w:rFonts w:ascii="黑体" w:eastAsia="黑体"/>
          <w:b/>
          <w:color w:val="auto"/>
          <w:sz w:val="36"/>
          <w:szCs w:val="36"/>
          <w:highlight w:val="none"/>
        </w:rPr>
      </w:pPr>
      <w:r>
        <w:rPr>
          <w:rFonts w:hint="eastAsia" w:eastAsia="黑体"/>
          <w:color w:val="auto"/>
          <w:sz w:val="36"/>
          <w:szCs w:val="36"/>
          <w:highlight w:val="none"/>
        </w:rPr>
        <w:t xml:space="preserve">（服务类）</w:t>
      </w:r>
      <w:r/>
    </w:p>
    <w:p>
      <w:pPr>
        <w:ind w:firstLine="723"/>
        <w:rPr>
          <w:rFonts w:ascii="黑体" w:eastAsia="黑体"/>
          <w:b/>
          <w:color w:val="auto"/>
          <w:sz w:val="36"/>
          <w:szCs w:val="36"/>
          <w:highlight w:val="none"/>
        </w:rPr>
      </w:pPr>
      <w:r>
        <w:rPr>
          <w:rFonts w:ascii="黑体" w:eastAsia="黑体"/>
          <w:b/>
          <w:color w:val="auto"/>
          <w:sz w:val="36"/>
          <w:szCs w:val="36"/>
          <w:highlight w:val="none"/>
        </w:rPr>
      </w:r>
      <w:r/>
    </w:p>
    <w:p>
      <w:pPr>
        <w:ind w:firstLine="723"/>
        <w:rPr>
          <w:rFonts w:ascii="黑体" w:eastAsia="黑体"/>
          <w:b/>
          <w:color w:val="auto"/>
          <w:sz w:val="36"/>
          <w:szCs w:val="36"/>
          <w:highlight w:val="none"/>
        </w:rPr>
      </w:pPr>
      <w:r>
        <w:rPr>
          <w:rFonts w:ascii="黑体" w:eastAsia="黑体"/>
          <w:b/>
          <w:color w:val="auto"/>
          <w:sz w:val="36"/>
          <w:szCs w:val="36"/>
          <w:highlight w:val="none"/>
        </w:rPr>
      </w:r>
      <w:r/>
    </w:p>
    <w:p>
      <w:pPr>
        <w:ind w:firstLine="723"/>
        <w:rPr>
          <w:rFonts w:ascii="黑体" w:eastAsia="黑体"/>
          <w:b/>
          <w:color w:val="auto"/>
          <w:sz w:val="36"/>
          <w:szCs w:val="36"/>
          <w:highlight w:val="none"/>
        </w:rPr>
      </w:pPr>
      <w:r>
        <w:rPr>
          <w:rFonts w:ascii="黑体" w:eastAsia="黑体"/>
          <w:b/>
          <w:color w:val="auto"/>
          <w:sz w:val="36"/>
          <w:szCs w:val="36"/>
          <w:highlight w:val="none"/>
        </w:rPr>
      </w:r>
      <w:r/>
    </w:p>
    <w:p>
      <w:pPr>
        <w:ind w:firstLine="723"/>
        <w:rPr>
          <w:rFonts w:ascii="黑体" w:eastAsia="黑体"/>
          <w:b/>
          <w:color w:val="auto"/>
          <w:sz w:val="36"/>
          <w:szCs w:val="36"/>
          <w:highlight w:val="none"/>
        </w:rPr>
      </w:pPr>
      <w:r>
        <w:rPr>
          <w:rFonts w:hint="eastAsia" w:ascii="黑体" w:eastAsia="黑体"/>
          <w:b/>
          <w:color w:val="auto"/>
          <w:sz w:val="36"/>
          <w:szCs w:val="36"/>
          <w:highlight w:val="none"/>
        </w:rPr>
        <w:t xml:space="preserve">项目编号：</w:t>
      </w:r>
      <w:r/>
    </w:p>
    <w:p>
      <w:pPr>
        <w:ind w:firstLine="723"/>
        <w:rPr>
          <w:rFonts w:ascii="黑体" w:eastAsia="黑体"/>
          <w:b/>
          <w:color w:val="auto"/>
          <w:sz w:val="36"/>
          <w:szCs w:val="36"/>
          <w:highlight w:val="none"/>
        </w:rPr>
      </w:pPr>
      <w:r>
        <w:rPr>
          <w:rFonts w:ascii="黑体" w:eastAsia="黑体"/>
          <w:b/>
          <w:color w:val="auto"/>
          <w:sz w:val="36"/>
          <w:szCs w:val="36"/>
          <w:highlight w:val="none"/>
        </w:rPr>
      </w:r>
      <w:r/>
    </w:p>
    <w:p>
      <w:pPr>
        <w:ind w:firstLine="723"/>
        <w:rPr>
          <w:rFonts w:ascii="黑体" w:eastAsia="黑体"/>
          <w:b/>
          <w:color w:val="auto"/>
          <w:sz w:val="36"/>
          <w:szCs w:val="36"/>
          <w:highlight w:val="none"/>
          <w:u w:val="single"/>
        </w:rPr>
      </w:pPr>
      <w:r>
        <w:rPr>
          <w:rFonts w:hint="eastAsia" w:ascii="黑体" w:eastAsia="黑体"/>
          <w:b/>
          <w:color w:val="auto"/>
          <w:sz w:val="36"/>
          <w:szCs w:val="36"/>
          <w:highlight w:val="none"/>
        </w:rPr>
        <w:t xml:space="preserve">项目名称：</w:t>
      </w:r>
      <w:r/>
    </w:p>
    <w:p>
      <w:pPr>
        <w:ind w:firstLine="723"/>
        <w:rPr>
          <w:rFonts w:ascii="黑体" w:eastAsia="黑体"/>
          <w:b/>
          <w:color w:val="auto"/>
          <w:sz w:val="36"/>
          <w:szCs w:val="36"/>
          <w:highlight w:val="none"/>
        </w:rPr>
      </w:pPr>
      <w:r>
        <w:rPr>
          <w:rFonts w:ascii="黑体" w:eastAsia="黑体"/>
          <w:b/>
          <w:color w:val="auto"/>
          <w:sz w:val="36"/>
          <w:szCs w:val="36"/>
          <w:highlight w:val="none"/>
        </w:rPr>
      </w:r>
      <w:r/>
    </w:p>
    <w:p>
      <w:pPr>
        <w:ind w:firstLine="723"/>
        <w:rPr>
          <w:rFonts w:ascii="黑体" w:eastAsia="黑体"/>
          <w:b/>
          <w:color w:val="auto"/>
          <w:sz w:val="36"/>
          <w:szCs w:val="36"/>
          <w:highlight w:val="none"/>
          <w:u w:val="single"/>
        </w:rPr>
      </w:pPr>
      <w:r>
        <w:rPr>
          <w:rFonts w:hint="eastAsia" w:ascii="黑体" w:eastAsia="黑体"/>
          <w:b/>
          <w:color w:val="auto"/>
          <w:sz w:val="36"/>
          <w:szCs w:val="36"/>
          <w:highlight w:val="none"/>
        </w:rPr>
        <w:t xml:space="preserve">采购人：</w:t>
      </w:r>
      <w:r/>
    </w:p>
    <w:p>
      <w:pPr>
        <w:ind w:firstLine="723"/>
        <w:rPr>
          <w:rFonts w:ascii="黑体" w:eastAsia="黑体"/>
          <w:b/>
          <w:color w:val="auto"/>
          <w:sz w:val="36"/>
          <w:szCs w:val="36"/>
          <w:highlight w:val="none"/>
        </w:rPr>
      </w:pPr>
      <w:r>
        <w:rPr>
          <w:rFonts w:ascii="黑体" w:eastAsia="黑体"/>
          <w:b/>
          <w:color w:val="auto"/>
          <w:sz w:val="36"/>
          <w:szCs w:val="36"/>
          <w:highlight w:val="none"/>
        </w:rPr>
      </w:r>
      <w:r/>
    </w:p>
    <w:p>
      <w:pPr>
        <w:ind w:firstLine="723"/>
        <w:rPr>
          <w:rFonts w:ascii="黑体" w:eastAsia="黑体"/>
          <w:b/>
          <w:color w:val="auto"/>
          <w:sz w:val="36"/>
          <w:szCs w:val="36"/>
          <w:highlight w:val="none"/>
        </w:rPr>
      </w:pPr>
      <w:r>
        <w:rPr>
          <w:rFonts w:hint="eastAsia" w:ascii="黑体" w:eastAsia="黑体"/>
          <w:b/>
          <w:color w:val="auto"/>
          <w:sz w:val="36"/>
          <w:szCs w:val="36"/>
          <w:highlight w:val="none"/>
        </w:rPr>
        <w:t xml:space="preserve">中标供应商：</w:t>
      </w:r>
      <w:r/>
    </w:p>
    <w:p>
      <w:pPr>
        <w:ind w:firstLine="723"/>
        <w:rPr>
          <w:rFonts w:ascii="黑体" w:eastAsia="黑体"/>
          <w:b/>
          <w:color w:val="auto"/>
          <w:sz w:val="36"/>
          <w:highlight w:val="none"/>
        </w:rPr>
      </w:pPr>
      <w:r>
        <w:rPr>
          <w:rFonts w:ascii="黑体" w:eastAsia="黑体"/>
          <w:b/>
          <w:color w:val="auto"/>
          <w:sz w:val="36"/>
          <w:highlight w:val="none"/>
        </w:rPr>
      </w:r>
      <w:r/>
    </w:p>
    <w:p>
      <w:pPr>
        <w:ind w:firstLine="756"/>
        <w:rPr>
          <w:rFonts w:ascii="黑体" w:eastAsia="黑体"/>
          <w:color w:val="auto"/>
          <w:sz w:val="36"/>
          <w:highlight w:val="none"/>
        </w:rPr>
      </w:pPr>
      <w:r>
        <w:rPr>
          <w:rFonts w:ascii="黑体" w:eastAsia="黑体"/>
          <w:color w:val="auto"/>
          <w:sz w:val="36"/>
          <w:highlight w:val="none"/>
        </w:rPr>
      </w:r>
      <w:r/>
    </w:p>
    <w:p>
      <w:pPr>
        <w:ind w:firstLine="756"/>
        <w:rPr>
          <w:rFonts w:ascii="黑体" w:eastAsia="黑体"/>
          <w:color w:val="auto"/>
          <w:sz w:val="36"/>
          <w:highlight w:val="none"/>
        </w:rPr>
      </w:pPr>
      <w:r>
        <w:rPr>
          <w:rFonts w:ascii="黑体" w:eastAsia="黑体"/>
          <w:color w:val="auto"/>
          <w:sz w:val="36"/>
          <w:highlight w:val="none"/>
        </w:rPr>
      </w:r>
      <w:r/>
    </w:p>
    <w:p>
      <w:pPr>
        <w:ind w:firstLine="756"/>
        <w:rPr>
          <w:rFonts w:ascii="黑体" w:eastAsia="黑体"/>
          <w:color w:val="auto"/>
          <w:sz w:val="36"/>
          <w:highlight w:val="none"/>
        </w:rPr>
      </w:pPr>
      <w:r>
        <w:rPr>
          <w:rFonts w:ascii="黑体" w:eastAsia="黑体"/>
          <w:color w:val="auto"/>
          <w:sz w:val="36"/>
          <w:highlight w:val="none"/>
        </w:rPr>
      </w:r>
      <w:r/>
    </w:p>
    <w:p>
      <w:pPr>
        <w:ind w:firstLine="756"/>
        <w:rPr>
          <w:rFonts w:ascii="黑体" w:eastAsia="黑体"/>
          <w:color w:val="auto"/>
          <w:sz w:val="36"/>
          <w:highlight w:val="none"/>
        </w:rPr>
      </w:pPr>
      <w:r>
        <w:rPr>
          <w:rFonts w:ascii="黑体" w:eastAsia="黑体"/>
          <w:color w:val="auto"/>
          <w:sz w:val="36"/>
          <w:highlight w:val="none"/>
        </w:rPr>
      </w:r>
      <w:r/>
    </w:p>
    <w:p>
      <w:pPr>
        <w:ind w:firstLine="756"/>
        <w:rPr>
          <w:rFonts w:ascii="黑体" w:eastAsia="黑体"/>
          <w:color w:val="auto"/>
          <w:sz w:val="36"/>
          <w:highlight w:val="none"/>
        </w:rPr>
      </w:pPr>
      <w:r>
        <w:rPr>
          <w:rFonts w:ascii="黑体" w:eastAsia="黑体"/>
          <w:color w:val="auto"/>
          <w:sz w:val="36"/>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pStyle w:val="968"/>
        <w:ind w:firstLine="643"/>
        <w:rPr>
          <w:color w:val="auto"/>
          <w:highlight w:val="none"/>
        </w:rPr>
      </w:pPr>
      <w:r>
        <w:rPr>
          <w:color w:val="auto"/>
          <w:highlight w:val="none"/>
        </w:rPr>
      </w:r>
      <w:r/>
    </w:p>
    <w:p>
      <w:pPr>
        <w:ind w:firstLine="420"/>
        <w:rPr>
          <w:color w:val="auto"/>
          <w:highlight w:val="none"/>
        </w:rPr>
      </w:pPr>
      <w:r>
        <w:rPr>
          <w:color w:val="auto"/>
          <w:highlight w:val="none"/>
        </w:rPr>
      </w:r>
      <w:r/>
    </w:p>
    <w:p>
      <w:pPr>
        <w:ind w:firstLine="480"/>
        <w:spacing w:line="300" w:lineRule="exact"/>
        <w:rPr>
          <w:rFonts w:ascii="宋体" w:hAnsi="宋体"/>
          <w:color w:val="auto"/>
          <w:sz w:val="24"/>
          <w:highlight w:val="none"/>
        </w:rPr>
      </w:pPr>
      <w:r>
        <w:rPr>
          <w:rFonts w:ascii="宋体" w:hAnsi="宋体"/>
          <w:color w:val="auto"/>
          <w:sz w:val="24"/>
          <w:highlight w:val="none"/>
        </w:rPr>
      </w:r>
      <w:r/>
    </w:p>
    <w:p>
      <w:pPr>
        <w:jc w:val="center"/>
        <w:spacing w:line="360" w:lineRule="auto"/>
        <w:widowControl/>
        <w:rPr>
          <w:rFonts w:ascii="宋体" w:hAnsi="宋体" w:cs="楷体"/>
          <w:b/>
          <w:color w:val="auto"/>
          <w:sz w:val="30"/>
          <w:szCs w:val="30"/>
          <w:highlight w:val="none"/>
        </w:rPr>
      </w:pPr>
      <w:r>
        <w:rPr>
          <w:rFonts w:ascii="宋体" w:hAnsi="宋体" w:cs="楷体"/>
          <w:b/>
          <w:color w:val="auto"/>
          <w:sz w:val="30"/>
          <w:szCs w:val="30"/>
          <w:highlight w:val="none"/>
        </w:rPr>
      </w:r>
      <w:r/>
    </w:p>
    <w:p>
      <w:pPr>
        <w:pStyle w:val="912"/>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甲方：</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p>
    <w:p>
      <w:pPr>
        <w:pStyle w:val="912"/>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乙方：</w:t>
      </w:r>
      <w:r>
        <w:rPr>
          <w:rFonts w:hint="eastAsia" w:ascii="宋体" w:hAnsi="宋体"/>
          <w:color w:val="auto"/>
          <w:sz w:val="24"/>
          <w:highlight w:val="none"/>
          <w:u w:val="single"/>
        </w:rPr>
        <w:t xml:space="preserve">                          </w:t>
      </w:r>
      <w:r/>
    </w:p>
    <w:p>
      <w:pPr>
        <w:pStyle w:val="912"/>
        <w:ind w:firstLine="480"/>
        <w:spacing w:line="360" w:lineRule="auto"/>
        <w:rPr>
          <w:rFonts w:ascii="宋体" w:hAnsi="宋体"/>
          <w:color w:val="auto"/>
          <w:sz w:val="24"/>
          <w:highlight w:val="none"/>
        </w:rPr>
      </w:pPr>
      <w:r>
        <w:rPr>
          <w:rFonts w:ascii="宋体" w:hAnsi="宋体"/>
          <w:color w:val="auto"/>
          <w:sz w:val="24"/>
          <w:highlight w:val="none"/>
        </w:rPr>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根据《中华人民共和国民法典》、（项目名称）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（标书编号</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）中标结果,订立本合同。</w:t>
      </w:r>
      <w:r/>
    </w:p>
    <w:p>
      <w:pPr>
        <w:pStyle w:val="912"/>
        <w:spacing w:line="360" w:lineRule="auto"/>
        <w:rPr>
          <w:rFonts w:ascii="宋体" w:hAnsi="宋体" w:cs="宋体"/>
          <w:color w:val="auto"/>
          <w:sz w:val="24"/>
          <w:highlight w:val="none"/>
        </w:rPr>
        <w:outlineLvl w:val="2"/>
      </w:pPr>
      <w:r>
        <w:rPr>
          <w:rFonts w:ascii="宋体" w:hAnsi="宋体" w:cs="宋体"/>
          <w:color w:val="auto"/>
          <w:sz w:val="24"/>
          <w:highlight w:val="none"/>
        </w:rPr>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1.定义</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在本合同中下列术语应解释为：</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1.1“甲方”系指购买货物和服务的采购人、使用人，即</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w:t>
      </w:r>
      <w:r/>
    </w:p>
    <w:p>
      <w:pPr>
        <w:pStyle w:val="912"/>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1.2“乙方”系指提供货物和服务的投标人，即</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1.3“货物”系指本合同项下乙方须向甲方提供的硬件设备及有关软件、文档、备品备件、各种资料、专用工具等。</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1.4“服务”指根据本合同规定乙方应承担的软件开发、测试服务、项目协调、辅助试点、会议、访谈、研讨、培训等使项目正常进行所必需的服务。甲、乙双方之间不构成劳务派遣关系。</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1.5“合同”系指甲、乙双方签署的、合同中载明的双方所达成的协议，包括招标文件、投标文件、附件、附录和构成合同的所有文件。</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1.6“合同价”系指根据合同规定，乙方在正确地完全履行合同义务后甲方应支付给乙方的价格。</w:t>
      </w:r>
      <w:r/>
    </w:p>
    <w:p>
      <w:pPr>
        <w:pStyle w:val="91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2.合同文件</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2.1 下列关于</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项目编号）的招标文件、乙方提交的投标文件以及与本采购活动相关的文件是构成本合同不可分割的部分，与本合同具有同等法律效力，这些文件包括但不限于：</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2.1.1</w:t>
      </w:r>
      <w:r>
        <w:rPr>
          <w:rFonts w:hint="eastAsia" w:ascii="宋体" w:hAnsi="宋体"/>
          <w:color w:val="auto"/>
          <w:sz w:val="24"/>
          <w:highlight w:val="none"/>
          <w:lang w:eastAsia="zh-CN"/>
        </w:rPr>
        <w:t xml:space="preserve">磋商响应</w:t>
      </w:r>
      <w:r>
        <w:rPr>
          <w:rFonts w:hint="eastAsia" w:ascii="宋体" w:hAnsi="宋体"/>
          <w:color w:val="auto"/>
          <w:sz w:val="24"/>
          <w:highlight w:val="none"/>
        </w:rPr>
        <w:t xml:space="preserve">函；</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2.1.2</w:t>
      </w:r>
      <w:r>
        <w:rPr>
          <w:rFonts w:hint="eastAsia" w:ascii="宋体" w:hAnsi="宋体"/>
          <w:color w:val="auto"/>
          <w:sz w:val="24"/>
          <w:highlight w:val="none"/>
          <w:lang w:eastAsia="zh-CN"/>
        </w:rPr>
        <w:t xml:space="preserve">磋商</w:t>
      </w:r>
      <w:r>
        <w:rPr>
          <w:rFonts w:hint="eastAsia" w:ascii="宋体" w:hAnsi="宋体"/>
          <w:color w:val="auto"/>
          <w:sz w:val="24"/>
          <w:highlight w:val="none"/>
        </w:rPr>
        <w:t xml:space="preserve">文件及乙方提交的</w:t>
      </w:r>
      <w:r>
        <w:rPr>
          <w:rFonts w:hint="eastAsia" w:ascii="宋体" w:hAnsi="宋体"/>
          <w:color w:val="auto"/>
          <w:sz w:val="24"/>
          <w:highlight w:val="none"/>
          <w:lang w:eastAsia="zh-CN"/>
        </w:rPr>
        <w:t xml:space="preserve">磋商响应</w:t>
      </w:r>
      <w:r>
        <w:rPr>
          <w:rFonts w:hint="eastAsia" w:ascii="宋体" w:hAnsi="宋体"/>
          <w:color w:val="auto"/>
          <w:sz w:val="24"/>
          <w:highlight w:val="none"/>
        </w:rPr>
        <w:t xml:space="preserve">文件和</w:t>
      </w:r>
      <w:r>
        <w:rPr>
          <w:rFonts w:hint="eastAsia" w:ascii="宋体" w:hAnsi="宋体"/>
          <w:color w:val="auto"/>
          <w:sz w:val="24"/>
          <w:highlight w:val="none"/>
          <w:lang w:eastAsia="zh-CN"/>
        </w:rPr>
        <w:t xml:space="preserve">磋商</w:t>
      </w:r>
      <w:r>
        <w:rPr>
          <w:rFonts w:hint="eastAsia" w:ascii="宋体" w:hAnsi="宋体"/>
          <w:color w:val="auto"/>
          <w:sz w:val="24"/>
          <w:highlight w:val="none"/>
        </w:rPr>
        <w:t xml:space="preserve">报价表；</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2.1.3</w:t>
      </w:r>
      <w:r>
        <w:rPr>
          <w:rFonts w:hint="eastAsia" w:ascii="宋体" w:hAnsi="宋体"/>
          <w:color w:val="auto"/>
          <w:sz w:val="24"/>
          <w:highlight w:val="none"/>
          <w:lang w:eastAsia="zh-CN"/>
        </w:rPr>
        <w:t xml:space="preserve">成交</w:t>
      </w:r>
      <w:r>
        <w:rPr>
          <w:rFonts w:hint="eastAsia" w:ascii="宋体" w:hAnsi="宋体"/>
          <w:color w:val="auto"/>
          <w:sz w:val="24"/>
          <w:highlight w:val="none"/>
        </w:rPr>
        <w:t xml:space="preserve">通知书</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2.1.4甲、乙方商定的其他必要文件。（可编辑）</w:t>
      </w:r>
      <w:r/>
    </w:p>
    <w:p>
      <w:pPr>
        <w:pStyle w:val="91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3.合同标的</w:t>
      </w:r>
      <w:r/>
    </w:p>
    <w:p>
      <w:pPr>
        <w:pStyle w:val="91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3.1本合同的标的详见</w:t>
      </w:r>
      <w:r>
        <w:rPr>
          <w:rFonts w:hint="eastAsia" w:ascii="宋体" w:hAnsi="宋体" w:cs="宋体"/>
          <w:color w:val="auto"/>
          <w:sz w:val="24"/>
          <w:highlight w:val="none"/>
          <w:lang w:eastAsia="zh-CN"/>
        </w:rPr>
        <w:t xml:space="preserve">磋商</w:t>
      </w:r>
      <w:r>
        <w:rPr>
          <w:rFonts w:hint="eastAsia" w:ascii="宋体" w:hAnsi="宋体" w:cs="宋体"/>
          <w:color w:val="auto"/>
          <w:sz w:val="24"/>
          <w:highlight w:val="none"/>
        </w:rPr>
        <w:t xml:space="preserve">文件</w:t>
      </w:r>
      <w:r/>
    </w:p>
    <w:p>
      <w:pPr>
        <w:pStyle w:val="912"/>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3.2主要建设内容：</w:t>
      </w:r>
      <w:r>
        <w:rPr>
          <w:rFonts w:hint="eastAsia" w:ascii="宋体" w:hAnsi="宋体"/>
          <w:color w:val="auto"/>
          <w:sz w:val="24"/>
          <w:highlight w:val="none"/>
          <w:u w:val="single"/>
        </w:rPr>
        <w:t xml:space="preserve">                                                  </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u w:val="single"/>
        </w:rPr>
        <w:t xml:space="preserve">                                                                    </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3.3免费维保期：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p>
    <w:p>
      <w:pPr>
        <w:pStyle w:val="91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4.合同价</w:t>
      </w:r>
      <w:r/>
    </w:p>
    <w:p>
      <w:pPr>
        <w:pStyle w:val="912"/>
        <w:ind w:left="120"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4.1本合同金额为（大写）人民币：_____________元（</w:t>
      </w:r>
      <w:r>
        <w:rPr>
          <w:rFonts w:hint="eastAsia" w:ascii="宋体" w:hAnsi="宋体" w:cs="Calibri"/>
          <w:color w:val="auto"/>
          <w:sz w:val="24"/>
          <w:highlight w:val="none"/>
        </w:rPr>
        <w:t xml:space="preserve">¥</w:t>
      </w:r>
      <w:r>
        <w:rPr>
          <w:rFonts w:hint="eastAsia" w:ascii="宋体" w:hAnsi="宋体" w:cs="宋体"/>
          <w:color w:val="auto"/>
          <w:sz w:val="24"/>
          <w:highlight w:val="none"/>
        </w:rPr>
        <w:t xml:space="preserve">_______元）</w:t>
      </w:r>
      <w:r/>
    </w:p>
    <w:p>
      <w:pPr>
        <w:pStyle w:val="912"/>
        <w:ind w:left="446"/>
        <w:spacing w:line="360" w:lineRule="auto"/>
        <w:tabs>
          <w:tab w:val="left" w:pos="312" w:leader="none"/>
        </w:tabs>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eastAsia="zh-CN"/>
        </w:rPr>
        <w:t xml:space="preserve">完工</w:t>
      </w:r>
      <w:r>
        <w:rPr>
          <w:rFonts w:hint="eastAsia" w:ascii="宋体" w:hAnsi="宋体" w:cs="宋体"/>
          <w:color w:val="auto"/>
          <w:sz w:val="24"/>
          <w:highlight w:val="none"/>
        </w:rPr>
        <w:t xml:space="preserve">期、付款方式</w:t>
      </w:r>
      <w:r/>
    </w:p>
    <w:p>
      <w:pPr>
        <w:pStyle w:val="912"/>
        <w:ind w:left="446"/>
        <w:spacing w:line="360" w:lineRule="auto"/>
        <w:tabs>
          <w:tab w:val="left" w:pos="312" w:leader="none"/>
        </w:tabs>
        <w:rPr>
          <w:rFonts w:ascii="宋体" w:hAnsi="宋体" w:cs="宋体"/>
          <w:color w:val="auto"/>
          <w:sz w:val="24"/>
          <w:highlight w:val="none"/>
        </w:rPr>
      </w:pPr>
      <w:r>
        <w:rPr>
          <w:rFonts w:hint="eastAsia" w:ascii="宋体" w:hAnsi="宋体" w:cs="宋体"/>
          <w:color w:val="auto"/>
          <w:sz w:val="24"/>
          <w:highlight w:val="none"/>
        </w:rPr>
        <w:t xml:space="preserve">5.1</w:t>
      </w:r>
      <w:r>
        <w:rPr>
          <w:rFonts w:hint="eastAsia" w:ascii="宋体" w:hAnsi="宋体" w:cs="宋体"/>
          <w:color w:val="auto"/>
          <w:sz w:val="24"/>
          <w:highlight w:val="none"/>
          <w:lang w:eastAsia="zh-CN"/>
        </w:rPr>
        <w:t xml:space="preserve">完工</w:t>
      </w:r>
      <w:r>
        <w:rPr>
          <w:rFonts w:hint="eastAsia" w:ascii="宋体" w:hAnsi="宋体" w:cs="宋体"/>
          <w:color w:val="auto"/>
          <w:sz w:val="24"/>
          <w:highlight w:val="none"/>
        </w:rPr>
        <w:t xml:space="preserve">期：</w:t>
      </w:r>
      <w:r/>
    </w:p>
    <w:p>
      <w:pPr>
        <w:pStyle w:val="912"/>
        <w:ind w:left="446"/>
        <w:spacing w:line="360" w:lineRule="auto"/>
        <w:tabs>
          <w:tab w:val="left" w:pos="312" w:leader="none"/>
        </w:tabs>
        <w:rPr>
          <w:rFonts w:ascii="宋体" w:hAnsi="宋体" w:cs="宋体"/>
          <w:color w:val="auto"/>
          <w:sz w:val="24"/>
          <w:highlight w:val="none"/>
        </w:rPr>
      </w:pPr>
      <w:r>
        <w:rPr>
          <w:rFonts w:hint="eastAsia" w:ascii="宋体" w:hAnsi="宋体" w:cs="宋体"/>
          <w:color w:val="auto"/>
          <w:sz w:val="24"/>
          <w:highlight w:val="none"/>
        </w:rPr>
        <w:t xml:space="preserve">5.2付款方式：</w:t>
      </w:r>
      <w:r/>
    </w:p>
    <w:p>
      <w:pPr>
        <w:pStyle w:val="912"/>
        <w:ind w:left="446"/>
        <w:spacing w:line="360" w:lineRule="auto"/>
        <w:tabs>
          <w:tab w:val="left" w:pos="312" w:leader="none"/>
        </w:tabs>
        <w:rPr>
          <w:rFonts w:ascii="宋体" w:hAnsi="宋体" w:cs="宋体"/>
          <w:color w:val="auto"/>
          <w:sz w:val="24"/>
          <w:highlight w:val="none"/>
        </w:rPr>
      </w:pPr>
      <w:r>
        <w:rPr>
          <w:rFonts w:hint="eastAsia" w:ascii="宋体" w:hAnsi="宋体"/>
          <w:color w:val="auto"/>
          <w:sz w:val="24"/>
          <w:highlight w:val="none"/>
        </w:rPr>
        <w:t xml:space="preserve">□</w:t>
      </w:r>
      <w:r>
        <w:rPr>
          <w:rFonts w:hint="eastAsia" w:ascii="宋体" w:hAnsi="宋体" w:cs="宋体"/>
          <w:color w:val="auto"/>
          <w:sz w:val="24"/>
          <w:highlight w:val="none"/>
        </w:rPr>
        <w:t xml:space="preserve">乙方自愿放弃本项目预付款。</w:t>
      </w:r>
      <w:r/>
    </w:p>
    <w:p>
      <w:pPr>
        <w:pStyle w:val="900"/>
        <w:ind w:left="420"/>
        <w:spacing w:line="360" w:lineRule="auto"/>
        <w:rPr>
          <w:rFonts w:hint="eastAsia" w:ascii="宋体" w:hAnsi="宋体" w:eastAsia="宋体"/>
          <w:color w:val="auto"/>
          <w:szCs w:val="22"/>
          <w:highlight w:val="none"/>
          <w:lang w:eastAsia="zh-CN"/>
        </w:rPr>
      </w:pPr>
      <w:r>
        <w:rPr>
          <w:rFonts w:hint="eastAsia" w:ascii="宋体" w:hAnsi="宋体" w:eastAsia="宋体"/>
          <w:color w:val="auto"/>
          <w:szCs w:val="22"/>
          <w:highlight w:val="none"/>
        </w:rPr>
        <w:t xml:space="preserve">□</w:t>
      </w:r>
      <w:r>
        <w:rPr>
          <w:rFonts w:ascii="宋体" w:hAnsi="宋体" w:eastAsia="宋体" w:cs="宋体"/>
          <w:color w:val="auto"/>
          <w:highlight w:val="none"/>
        </w:rPr>
        <w:t xml:space="preserve">合同签订后，</w:t>
      </w:r>
      <w:r>
        <w:rPr>
          <w:rFonts w:hint="eastAsia" w:ascii="宋体" w:hAnsi="宋体" w:eastAsia="宋体" w:cs="宋体"/>
          <w:color w:val="auto"/>
          <w:highlight w:val="none"/>
          <w:lang w:eastAsia="zh-CN"/>
        </w:rPr>
        <w:t xml:space="preserve">甲方</w:t>
      </w:r>
      <w:r>
        <w:rPr>
          <w:rFonts w:ascii="宋体" w:hAnsi="宋体" w:eastAsia="宋体" w:cs="宋体"/>
          <w:color w:val="auto"/>
          <w:highlight w:val="none"/>
        </w:rPr>
        <w:t xml:space="preserve">在收到</w:t>
      </w:r>
      <w:r>
        <w:rPr>
          <w:rFonts w:hint="eastAsia" w:ascii="宋体" w:hAnsi="宋体" w:eastAsia="宋体" w:cs="宋体"/>
          <w:color w:val="auto"/>
          <w:highlight w:val="none"/>
          <w:lang w:eastAsia="zh-CN"/>
        </w:rPr>
        <w:t xml:space="preserve">成交</w:t>
      </w:r>
      <w:r>
        <w:rPr>
          <w:rFonts w:ascii="宋体" w:hAnsi="宋体" w:eastAsia="宋体" w:cs="宋体"/>
          <w:color w:val="auto"/>
          <w:highlight w:val="none"/>
        </w:rPr>
        <w:t xml:space="preserve">供应商提供相应金额的正规发票后1</w:t>
      </w:r>
      <w:r>
        <w:rPr>
          <w:rFonts w:hint="eastAsia" w:ascii="宋体" w:hAnsi="宋体" w:eastAsia="宋体" w:cs="宋体"/>
          <w:color w:val="auto"/>
          <w:highlight w:val="none"/>
          <w:lang w:val="en-US" w:eastAsia="zh-CN"/>
        </w:rPr>
        <w:t xml:space="preserve">0个工作日</w:t>
      </w:r>
      <w:r>
        <w:rPr>
          <w:rFonts w:ascii="宋体" w:hAnsi="宋体" w:eastAsia="宋体" w:cs="宋体"/>
          <w:color w:val="auto"/>
          <w:highlight w:val="none"/>
        </w:rPr>
        <w:t xml:space="preserve">内，支付合同金额的</w:t>
      </w:r>
      <w:r>
        <w:rPr>
          <w:rFonts w:hint="eastAsia" w:ascii="宋体" w:hAnsi="宋体" w:eastAsia="宋体" w:cs="宋体"/>
          <w:color w:val="auto"/>
          <w:highlight w:val="none"/>
          <w:lang w:val="en-US" w:eastAsia="zh-CN"/>
        </w:rPr>
        <w:t xml:space="preserve">10</w:t>
      </w:r>
      <w:r>
        <w:rPr>
          <w:rFonts w:ascii="宋体" w:hAnsi="宋体" w:eastAsia="宋体" w:cs="宋体"/>
          <w:color w:val="auto"/>
          <w:highlight w:val="none"/>
        </w:rPr>
        <w:t xml:space="preserve">%作为预付款</w:t>
      </w:r>
      <w:r>
        <w:rPr>
          <w:rFonts w:hint="eastAsia" w:ascii="宋体" w:hAnsi="宋体" w:eastAsia="宋体" w:cs="宋体"/>
          <w:color w:val="auto"/>
          <w:highlight w:val="none"/>
          <w:lang w:eastAsia="zh-CN"/>
        </w:rPr>
        <w:t xml:space="preserve">。</w:t>
      </w:r>
      <w:r>
        <w:rPr>
          <w:rFonts w:ascii="宋体" w:hAnsi="宋体" w:eastAsia="宋体" w:cs="宋体"/>
          <w:color w:val="auto"/>
          <w:highlight w:val="none"/>
        </w:rPr>
        <w:t xml:space="preserve">在服务期内，采购人按</w:t>
      </w:r>
      <w:r>
        <w:rPr>
          <w:rFonts w:hint="eastAsia" w:ascii="宋体" w:hAnsi="宋体" w:eastAsia="宋体" w:cs="宋体"/>
          <w:color w:val="auto"/>
          <w:highlight w:val="none"/>
          <w:lang w:eastAsia="zh-CN"/>
        </w:rPr>
        <w:t xml:space="preserve">年</w:t>
      </w:r>
      <w:r>
        <w:rPr>
          <w:rFonts w:ascii="宋体" w:hAnsi="宋体" w:eastAsia="宋体" w:cs="宋体"/>
          <w:color w:val="auto"/>
          <w:highlight w:val="none"/>
        </w:rPr>
        <w:t xml:space="preserve">度</w:t>
      </w:r>
      <w:r>
        <w:rPr>
          <w:rFonts w:hint="eastAsia" w:ascii="宋体" w:hAnsi="宋体" w:eastAsia="宋体" w:cs="宋体"/>
          <w:color w:val="auto"/>
          <w:highlight w:val="none"/>
          <w:lang w:val="en-US" w:eastAsia="zh-CN"/>
        </w:rPr>
        <w:t xml:space="preserve">支付服务费给中标供应商，即服务期第一年结束后，</w:t>
      </w:r>
      <w:r>
        <w:rPr>
          <w:rFonts w:hint="eastAsia" w:ascii="宋体" w:hAnsi="宋体" w:eastAsia="宋体" w:cs="宋体"/>
          <w:color w:val="auto"/>
          <w:highlight w:val="none"/>
          <w:lang w:eastAsia="zh-CN"/>
        </w:rPr>
        <w:t xml:space="preserve">成交</w:t>
      </w:r>
      <w:r>
        <w:rPr>
          <w:rFonts w:ascii="宋体" w:hAnsi="宋体" w:eastAsia="宋体" w:cs="宋体"/>
          <w:color w:val="auto"/>
          <w:highlight w:val="none"/>
        </w:rPr>
        <w:t xml:space="preserve">供应商</w:t>
      </w:r>
      <w:r>
        <w:rPr>
          <w:rFonts w:hint="eastAsia" w:ascii="宋体" w:hAnsi="宋体" w:eastAsia="宋体"/>
          <w:color w:val="auto"/>
          <w:szCs w:val="22"/>
          <w:highlight w:val="none"/>
        </w:rPr>
        <w:t xml:space="preserve">应开具</w:t>
      </w:r>
      <w:r>
        <w:rPr>
          <w:rFonts w:ascii="宋体" w:hAnsi="宋体" w:eastAsia="宋体" w:cs="宋体"/>
          <w:color w:val="auto"/>
          <w:highlight w:val="none"/>
        </w:rPr>
        <w:t xml:space="preserve">合同金额的</w:t>
      </w:r>
      <w:r>
        <w:rPr>
          <w:rFonts w:hint="eastAsia" w:ascii="宋体" w:hAnsi="宋体" w:eastAsia="宋体" w:cs="宋体"/>
          <w:color w:val="auto"/>
          <w:highlight w:val="none"/>
          <w:lang w:val="en-US" w:eastAsia="zh-CN"/>
        </w:rPr>
        <w:t xml:space="preserve">30</w:t>
      </w:r>
      <w:r>
        <w:rPr>
          <w:rFonts w:ascii="宋体" w:hAnsi="宋体" w:eastAsia="宋体" w:cs="宋体"/>
          <w:color w:val="auto"/>
          <w:highlight w:val="none"/>
        </w:rPr>
        <w:t xml:space="preserve">%</w:t>
      </w:r>
      <w:r>
        <w:rPr>
          <w:rFonts w:hint="eastAsia" w:ascii="宋体" w:hAnsi="宋体" w:eastAsia="宋体"/>
          <w:color w:val="auto"/>
          <w:szCs w:val="22"/>
          <w:highlight w:val="none"/>
        </w:rPr>
        <w:t xml:space="preserve">的正式发票给甲方，甲方收到发票后10个工作日内支付给乙方相应款项</w:t>
      </w:r>
      <w:r>
        <w:rPr>
          <w:rFonts w:hint="eastAsia" w:ascii="宋体" w:hAnsi="宋体" w:eastAsia="宋体"/>
          <w:color w:val="auto"/>
          <w:szCs w:val="22"/>
          <w:highlight w:val="none"/>
          <w:lang w:eastAsia="zh-CN"/>
        </w:rPr>
        <w:t xml:space="preserve">；</w:t>
      </w:r>
      <w:r>
        <w:rPr>
          <w:rFonts w:hint="eastAsia" w:ascii="宋体" w:hAnsi="宋体" w:eastAsia="宋体" w:cs="宋体"/>
          <w:color w:val="auto"/>
          <w:highlight w:val="none"/>
          <w:lang w:val="en-US" w:eastAsia="zh-CN"/>
        </w:rPr>
        <w:t xml:space="preserve">服务期第二年结束后，</w:t>
      </w:r>
      <w:r>
        <w:rPr>
          <w:rFonts w:hint="eastAsia" w:ascii="宋体" w:hAnsi="宋体" w:eastAsia="宋体" w:cs="宋体"/>
          <w:color w:val="auto"/>
          <w:highlight w:val="none"/>
          <w:lang w:eastAsia="zh-CN"/>
        </w:rPr>
        <w:t xml:space="preserve">成交</w:t>
      </w:r>
      <w:r>
        <w:rPr>
          <w:rFonts w:ascii="宋体" w:hAnsi="宋体" w:eastAsia="宋体" w:cs="宋体"/>
          <w:color w:val="auto"/>
          <w:highlight w:val="none"/>
        </w:rPr>
        <w:t xml:space="preserve">供应商</w:t>
      </w:r>
      <w:r>
        <w:rPr>
          <w:rFonts w:hint="eastAsia" w:ascii="宋体" w:hAnsi="宋体" w:eastAsia="宋体"/>
          <w:color w:val="auto"/>
          <w:szCs w:val="22"/>
          <w:highlight w:val="none"/>
        </w:rPr>
        <w:t xml:space="preserve">应开具</w:t>
      </w:r>
      <w:r>
        <w:rPr>
          <w:rFonts w:ascii="宋体" w:hAnsi="宋体" w:eastAsia="宋体" w:cs="宋体"/>
          <w:color w:val="auto"/>
          <w:highlight w:val="none"/>
        </w:rPr>
        <w:t xml:space="preserve">合同金额的</w:t>
      </w:r>
      <w:r>
        <w:rPr>
          <w:rFonts w:hint="eastAsia" w:ascii="宋体" w:hAnsi="宋体" w:eastAsia="宋体" w:cs="宋体"/>
          <w:color w:val="auto"/>
          <w:highlight w:val="none"/>
          <w:lang w:val="en-US" w:eastAsia="zh-CN"/>
        </w:rPr>
        <w:t xml:space="preserve">30</w:t>
      </w:r>
      <w:r>
        <w:rPr>
          <w:rFonts w:ascii="宋体" w:hAnsi="宋体" w:eastAsia="宋体" w:cs="宋体"/>
          <w:color w:val="auto"/>
          <w:highlight w:val="none"/>
        </w:rPr>
        <w:t xml:space="preserve">%</w:t>
      </w:r>
      <w:r>
        <w:rPr>
          <w:rFonts w:hint="eastAsia" w:ascii="宋体" w:hAnsi="宋体" w:eastAsia="宋体"/>
          <w:color w:val="auto"/>
          <w:szCs w:val="22"/>
          <w:highlight w:val="none"/>
        </w:rPr>
        <w:t xml:space="preserve">的正式发票给甲方，甲方收到发票后10个工作日内支付给乙方相应款项</w:t>
      </w:r>
      <w:r>
        <w:rPr>
          <w:rFonts w:hint="eastAsia" w:ascii="宋体" w:hAnsi="宋体" w:eastAsia="宋体"/>
          <w:color w:val="auto"/>
          <w:szCs w:val="22"/>
          <w:highlight w:val="none"/>
          <w:lang w:eastAsia="zh-CN"/>
        </w:rPr>
        <w:t xml:space="preserve">；</w:t>
      </w:r>
      <w:r>
        <w:rPr>
          <w:rFonts w:hint="eastAsia" w:ascii="宋体" w:hAnsi="宋体" w:eastAsia="宋体" w:cs="宋体"/>
          <w:color w:val="auto"/>
          <w:highlight w:val="none"/>
          <w:lang w:val="en-US" w:eastAsia="zh-CN"/>
        </w:rPr>
        <w:t xml:space="preserve">服务期第三年结束后，</w:t>
      </w:r>
      <w:r>
        <w:rPr>
          <w:rFonts w:hint="eastAsia" w:ascii="宋体" w:hAnsi="宋体" w:eastAsia="宋体" w:cs="宋体"/>
          <w:color w:val="auto"/>
          <w:highlight w:val="none"/>
          <w:lang w:eastAsia="zh-CN"/>
        </w:rPr>
        <w:t xml:space="preserve">成交</w:t>
      </w:r>
      <w:r>
        <w:rPr>
          <w:rFonts w:ascii="宋体" w:hAnsi="宋体" w:eastAsia="宋体" w:cs="宋体"/>
          <w:color w:val="auto"/>
          <w:highlight w:val="none"/>
        </w:rPr>
        <w:t xml:space="preserve">供应商</w:t>
      </w:r>
      <w:r>
        <w:rPr>
          <w:rFonts w:hint="eastAsia" w:ascii="宋体" w:hAnsi="宋体" w:eastAsia="宋体"/>
          <w:color w:val="auto"/>
          <w:szCs w:val="22"/>
          <w:highlight w:val="none"/>
        </w:rPr>
        <w:t xml:space="preserve">应开具</w:t>
      </w:r>
      <w:r>
        <w:rPr>
          <w:rFonts w:ascii="宋体" w:hAnsi="宋体" w:eastAsia="宋体" w:cs="宋体"/>
          <w:color w:val="auto"/>
          <w:highlight w:val="none"/>
        </w:rPr>
        <w:t xml:space="preserve">合同金额的</w:t>
      </w:r>
      <w:r>
        <w:rPr>
          <w:rFonts w:hint="eastAsia" w:ascii="宋体" w:hAnsi="宋体" w:eastAsia="宋体" w:cs="宋体"/>
          <w:color w:val="auto"/>
          <w:highlight w:val="none"/>
          <w:lang w:val="en-US" w:eastAsia="zh-CN"/>
        </w:rPr>
        <w:t xml:space="preserve">30</w:t>
      </w:r>
      <w:r>
        <w:rPr>
          <w:rFonts w:ascii="宋体" w:hAnsi="宋体" w:eastAsia="宋体" w:cs="宋体"/>
          <w:color w:val="auto"/>
          <w:highlight w:val="none"/>
        </w:rPr>
        <w:t xml:space="preserve">%</w:t>
      </w:r>
      <w:r>
        <w:rPr>
          <w:rFonts w:hint="eastAsia" w:ascii="宋体" w:hAnsi="宋体" w:eastAsia="宋体"/>
          <w:color w:val="auto"/>
          <w:szCs w:val="22"/>
          <w:highlight w:val="none"/>
        </w:rPr>
        <w:t xml:space="preserve">的正式发票给甲方，甲方收到发票后10个工作日内支付给乙方相应款项</w:t>
      </w:r>
      <w:r>
        <w:rPr>
          <w:rFonts w:hint="eastAsia" w:ascii="宋体" w:hAnsi="宋体" w:eastAsia="宋体"/>
          <w:color w:val="auto"/>
          <w:szCs w:val="22"/>
          <w:highlight w:val="none"/>
          <w:lang w:eastAsia="zh-CN"/>
        </w:rPr>
        <w:t xml:space="preserve">。</w:t>
      </w:r>
      <w:r/>
    </w:p>
    <w:p>
      <w:pPr>
        <w:pStyle w:val="91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6.履约保证金</w:t>
      </w:r>
      <w:r/>
    </w:p>
    <w:p>
      <w:pPr>
        <w:ind w:firstLine="482"/>
        <w:spacing w:line="360" w:lineRule="auto"/>
        <w:rPr>
          <w:rFonts w:ascii="宋体" w:hAnsi="宋体"/>
          <w:color w:val="auto"/>
          <w:sz w:val="24"/>
          <w:highlight w:val="none"/>
        </w:rPr>
      </w:pPr>
      <w:r/>
      <w:bookmarkStart w:id="81" w:name="_Toc256000074"/>
      <w:r>
        <w:rPr>
          <w:rFonts w:hint="eastAsia" w:ascii="宋体" w:hAnsi="宋体"/>
          <w:color w:val="auto"/>
          <w:sz w:val="24"/>
          <w:highlight w:val="none"/>
        </w:rPr>
        <w:t xml:space="preserve">☑本项目不收取履约保证金</w:t>
      </w:r>
      <w:r/>
    </w:p>
    <w:p>
      <w:pPr>
        <w:ind w:firstLine="482"/>
        <w:spacing w:line="360" w:lineRule="auto"/>
        <w:rPr>
          <w:rFonts w:ascii="宋体" w:hAnsi="宋体"/>
          <w:color w:val="auto"/>
          <w:sz w:val="24"/>
          <w:highlight w:val="none"/>
        </w:rPr>
      </w:pPr>
      <w:r>
        <w:rPr>
          <w:rFonts w:hint="eastAsia" w:ascii="宋体" w:hAnsi="宋体"/>
          <w:color w:val="auto"/>
          <w:sz w:val="24"/>
          <w:highlight w:val="none"/>
        </w:rPr>
        <w:t xml:space="preserve">□本项目中标供应商应提交合同金额XX%的履约保证金（不得超过政府采购合同金额的10%），履约保证金应以支票、汇票、本票、保函、保险保单等非现金形式缴纳或提交。</w:t>
      </w:r>
      <w:r/>
    </w:p>
    <w:p>
      <w:pPr>
        <w:ind w:firstLine="482"/>
        <w:spacing w:line="360" w:lineRule="auto"/>
        <w:rPr>
          <w:rFonts w:ascii="宋体" w:hAnsi="宋体"/>
          <w:color w:val="auto"/>
          <w:sz w:val="24"/>
          <w:highlight w:val="none"/>
        </w:rPr>
      </w:pPr>
      <w:r>
        <w:rPr>
          <w:rFonts w:hint="eastAsia" w:ascii="宋体" w:hAnsi="宋体"/>
          <w:color w:val="auto"/>
          <w:sz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2"/>
        <w:spacing w:line="360" w:lineRule="auto"/>
        <w:rPr>
          <w:rFonts w:ascii="宋体" w:hAnsi="宋体"/>
          <w:color w:val="auto"/>
          <w:sz w:val="24"/>
          <w:highlight w:val="none"/>
        </w:rPr>
      </w:pPr>
      <w:r>
        <w:rPr>
          <w:rFonts w:hint="eastAsia" w:ascii="宋体" w:hAnsi="宋体"/>
          <w:color w:val="auto"/>
          <w:sz w:val="24"/>
          <w:highlight w:val="none"/>
        </w:rPr>
        <w:t xml:space="preserve">履约保证金退还的条件： </w:t>
      </w:r>
      <w:r/>
    </w:p>
    <w:p>
      <w:pPr>
        <w:ind w:firstLine="482"/>
        <w:spacing w:line="360" w:lineRule="auto"/>
        <w:rPr>
          <w:rFonts w:ascii="宋体" w:hAnsi="宋体"/>
          <w:color w:val="auto"/>
          <w:sz w:val="24"/>
          <w:highlight w:val="none"/>
        </w:rPr>
      </w:pPr>
      <w:r>
        <w:rPr>
          <w:rFonts w:hint="eastAsia" w:ascii="宋体" w:hAnsi="宋体"/>
          <w:color w:val="auto"/>
          <w:sz w:val="24"/>
          <w:highlight w:val="none"/>
        </w:rPr>
        <w:t xml:space="preserve">货物类项目，项目验收合格，出具验收报告及履约保证金收据申请退付；</w:t>
      </w:r>
      <w:r/>
    </w:p>
    <w:p>
      <w:pPr>
        <w:ind w:firstLine="482"/>
        <w:spacing w:line="360" w:lineRule="auto"/>
        <w:rPr>
          <w:rFonts w:ascii="宋体" w:hAnsi="宋体"/>
          <w:color w:val="auto"/>
          <w:sz w:val="24"/>
          <w:highlight w:val="none"/>
        </w:rPr>
      </w:pPr>
      <w:r>
        <w:rPr>
          <w:rFonts w:hint="eastAsia" w:ascii="宋体" w:hAnsi="宋体"/>
          <w:color w:val="auto"/>
          <w:sz w:val="24"/>
          <w:highlight w:val="none"/>
        </w:rPr>
        <w:t xml:space="preserve">履约保证金退还时间：采购单位收到投标人退付申请后5个工作日内退还；</w:t>
      </w:r>
      <w:r/>
    </w:p>
    <w:p>
      <w:pPr>
        <w:ind w:firstLine="482"/>
        <w:spacing w:line="360" w:lineRule="auto"/>
        <w:rPr>
          <w:rFonts w:ascii="宋体" w:hAnsi="宋体"/>
          <w:color w:val="auto"/>
          <w:sz w:val="24"/>
          <w:highlight w:val="none"/>
        </w:rPr>
      </w:pPr>
      <w:r>
        <w:rPr>
          <w:rFonts w:hint="eastAsia" w:ascii="宋体" w:hAnsi="宋体"/>
          <w:color w:val="auto"/>
          <w:sz w:val="24"/>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2"/>
        <w:spacing w:line="360" w:lineRule="auto"/>
        <w:rPr>
          <w:rFonts w:ascii="宋体" w:hAnsi="宋体"/>
          <w:color w:val="auto"/>
          <w:sz w:val="24"/>
          <w:highlight w:val="none"/>
        </w:rPr>
      </w:pPr>
      <w:r>
        <w:rPr>
          <w:rFonts w:hint="eastAsia" w:ascii="宋体" w:hAnsi="宋体"/>
          <w:color w:val="auto"/>
          <w:sz w:val="24"/>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2"/>
        <w:spacing w:line="360" w:lineRule="auto"/>
        <w:rPr>
          <w:rFonts w:ascii="宋体" w:hAnsi="宋体"/>
          <w:color w:val="auto"/>
          <w:sz w:val="24"/>
          <w:highlight w:val="none"/>
        </w:rPr>
      </w:pPr>
      <w:r>
        <w:rPr>
          <w:rFonts w:hint="eastAsia" w:ascii="宋体" w:hAnsi="宋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91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7.项目实施及服务要求</w:t>
      </w:r>
      <w:bookmarkEnd w:id="81"/>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7.1 乙方应完全响应招标文件中功能、安全、</w:t>
      </w:r>
      <w:r>
        <w:rPr>
          <w:rFonts w:ascii="宋体" w:hAnsi="宋体"/>
          <w:color w:val="auto"/>
          <w:sz w:val="24"/>
          <w:highlight w:val="none"/>
        </w:rPr>
        <w:t xml:space="preserve">系统性能、</w:t>
      </w:r>
      <w:r>
        <w:rPr>
          <w:rFonts w:hint="eastAsia" w:ascii="宋体" w:hAnsi="宋体"/>
          <w:color w:val="auto"/>
          <w:sz w:val="24"/>
          <w:highlight w:val="none"/>
        </w:rPr>
        <w:t xml:space="preserve">数据迁移与系统切换、产品合格、服务等各项需求，并严格履行投标文件中的服务承诺。</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8.质量保证</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8.1乙方保证按招标文件要求的产品性能、技术要求、质量标准、品牌向甲方提供未经使用的全新产品。</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8.2乙方保证提供的技术资料具有正确性、简明性、可操作性和规范性。</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8.3乙方保证其具备履行合同所必需的主体资质、设备和专业技术能力。</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9.包装、运输与保险</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9.1乙方确保按期按质交付。乙方应承担因运输、搬运过程中防护措施不当造成的任何损失。</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9.2乙方负责为软件和在项目现场进行技术服务的乙方人员办理必要的保险并支付相关保险费，该保险的期限至软件安装完成维保期满为止。在合同履行期间，乙方对其派出的人员的安全负全部责任。如乙方人员在合同履行中发生事故的，乙方应负责处理并承担责任，甲方不承担任何责任。乙方应具有合格的用工主体资格，应与派出的项目人员建立合法的劳动关系并履行相关职责。甲、乙双方不构成劳务派遣关系。合同有效期间，乙方人员及乙方引入的第三方人员发生任何伤害事故由乙方负责处理，与甲方无关；乙方人员报酬和待遇由乙方承担，与甲方无关。</w:t>
      </w:r>
      <w:r/>
    </w:p>
    <w:p>
      <w:pPr>
        <w:pStyle w:val="91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10.项目验收</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10.1验收时间：乙方按序时进度表完成相应工作后，向甲方提交书面验收申请书，甲方在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个工作日内组织验收。</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10.2验收方式：甲方组织相关部门依据相关法律法规自行组织。</w:t>
      </w:r>
      <w:r/>
    </w:p>
    <w:p>
      <w:pPr>
        <w:pStyle w:val="912"/>
        <w:ind w:firstLine="480"/>
        <w:spacing w:line="360" w:lineRule="auto"/>
        <w:rPr>
          <w:rFonts w:ascii="宋体" w:hAnsi="宋体"/>
          <w:color w:val="auto"/>
          <w:sz w:val="24"/>
          <w:highlight w:val="none"/>
        </w:rPr>
      </w:pPr>
      <w:r>
        <w:rPr>
          <w:rFonts w:ascii="宋体" w:hAnsi="宋体"/>
          <w:color w:val="auto"/>
          <w:sz w:val="24"/>
          <w:highlight w:val="none"/>
        </w:rPr>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11.权利和义务</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11.1甲方的权利和义务</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11.1.1甲方为平台项目及设备、软件的采购人、使用方、产权所有人，承担项目验收、监督、考核、处罚等职责。</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11.1.2甲方负责对乙方实施和运维服务进行考核、测评。</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11.1.3甲方未能及时追究乙方的任何一项违约责任并不表明甲方放弃追究乙方该项违约责任。</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11.1.4因甲方违约导致合同终止的，乙方有权向甲方收取已支付产品所对应的合同价款及其它已履行部分所对应的合同价款。</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11.1.5…………</w:t>
      </w:r>
      <w:r/>
    </w:p>
    <w:p>
      <w:pPr>
        <w:pStyle w:val="912"/>
        <w:ind w:firstLine="480"/>
        <w:spacing w:line="360" w:lineRule="auto"/>
        <w:rPr>
          <w:rFonts w:ascii="宋体" w:hAnsi="宋体"/>
          <w:color w:val="auto"/>
          <w:sz w:val="24"/>
          <w:highlight w:val="none"/>
        </w:rPr>
      </w:pPr>
      <w:r>
        <w:rPr>
          <w:rFonts w:ascii="宋体" w:hAnsi="宋体"/>
          <w:color w:val="auto"/>
          <w:sz w:val="24"/>
          <w:highlight w:val="none"/>
        </w:rPr>
      </w:r>
      <w:r/>
    </w:p>
    <w:p>
      <w:pPr>
        <w:pStyle w:val="912"/>
        <w:ind w:firstLine="480"/>
        <w:spacing w:line="360" w:lineRule="auto"/>
        <w:rPr>
          <w:rFonts w:ascii="宋体" w:hAnsi="宋体"/>
          <w:color w:val="auto"/>
          <w:sz w:val="24"/>
          <w:highlight w:val="none"/>
        </w:rPr>
      </w:pPr>
      <w:r>
        <w:rPr>
          <w:rFonts w:ascii="宋体" w:hAnsi="宋体"/>
          <w:color w:val="auto"/>
          <w:sz w:val="24"/>
          <w:highlight w:val="none"/>
        </w:rPr>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11.2乙方的权利和义务</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11.2.1乙方应遵守甲方及其上级机关关于本项目的所有考核要求，包括但不局限于安全保密、考勤管理、用户体验感满意度、软件及服务质量、故障处理等相关要求，并承担因违反相关规定造成的损失。</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11.2.2除非甲、乙双方协商一致终止合同或一方按本合同约定解除合同，各方在承担违约责任后仍应继续履行合同。</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11.2.3乙方按各阶段工作内容要求完成工作量且通过甲方验收后，向甲方提交书面付款申请，甲方确认后，按约定支付相应合同款项。</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11.2.4…………</w:t>
      </w:r>
      <w:r/>
    </w:p>
    <w:p>
      <w:pPr>
        <w:pStyle w:val="912"/>
        <w:ind w:firstLine="480"/>
        <w:spacing w:line="360" w:lineRule="auto"/>
        <w:rPr>
          <w:rFonts w:ascii="宋体" w:hAnsi="宋体"/>
          <w:color w:val="auto"/>
          <w:sz w:val="24"/>
          <w:highlight w:val="none"/>
        </w:rPr>
      </w:pPr>
      <w:r>
        <w:rPr>
          <w:rFonts w:ascii="宋体" w:hAnsi="宋体"/>
          <w:color w:val="auto"/>
          <w:sz w:val="24"/>
          <w:highlight w:val="none"/>
        </w:rPr>
      </w:r>
      <w:r/>
    </w:p>
    <w:p>
      <w:pPr>
        <w:pStyle w:val="912"/>
        <w:ind w:firstLine="480"/>
        <w:spacing w:line="360" w:lineRule="auto"/>
        <w:rPr>
          <w:rFonts w:ascii="宋体" w:hAnsi="宋体"/>
          <w:color w:val="auto"/>
          <w:sz w:val="24"/>
          <w:highlight w:val="none"/>
        </w:rPr>
      </w:pPr>
      <w:r>
        <w:rPr>
          <w:rFonts w:ascii="宋体" w:hAnsi="宋体"/>
          <w:color w:val="auto"/>
          <w:sz w:val="24"/>
          <w:highlight w:val="none"/>
        </w:rPr>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12.知识产权与保密</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12.1乙方保证，其根据本合同提供的服务没有任何权利瑕疵，没有侵犯任何第三方权利，甲方在使用该服务的任何一部分时，免受第三方提出的侵犯其权利等任何权利主张。如果任何人对甲方使用该服务主张权利，由乙方负责处理一切纠纷及相关事宜。由此给甲方造成的损失，由乙方承担，其承担范围包括但不限于：赔偿费、律师费、诉讼费或仲裁费、鉴定费、调查取证费和其他一切相关的费用。</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12.2乙方应保守在缔结和履行合同过程中获知的甲方内部保密信息，除履行合同义务的必要或法律、法规规定应披露的之外，不得以任何方式向第三人披露和不正当使用，否则，应当赔偿因泄露保密信息给甲方造成的损失。在完成项目后，乙方应将工作成果、甲方的资料全部交给或退还）甲方，并不得以任何借口泄露或公开甲方的保密信息。</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12.3乙方应对</w:t>
      </w:r>
      <w:r>
        <w:rPr>
          <w:rFonts w:ascii="宋体" w:hAnsi="宋体"/>
          <w:color w:val="auto"/>
          <w:sz w:val="24"/>
          <w:highlight w:val="none"/>
        </w:rPr>
        <w:t xml:space="preserve">甲方信息以及接入或使用</w:t>
      </w:r>
      <w:r>
        <w:rPr>
          <w:rFonts w:hint="eastAsia" w:ascii="宋体" w:hAnsi="宋体"/>
          <w:color w:val="auto"/>
          <w:sz w:val="24"/>
          <w:highlight w:val="none"/>
        </w:rPr>
        <w:t xml:space="preserve">乙</w:t>
      </w:r>
      <w:r>
        <w:rPr>
          <w:rFonts w:ascii="宋体" w:hAnsi="宋体"/>
          <w:color w:val="auto"/>
          <w:sz w:val="24"/>
          <w:highlight w:val="none"/>
        </w:rPr>
        <w:t xml:space="preserve">方所提供系统的</w:t>
      </w:r>
      <w:r>
        <w:rPr>
          <w:rFonts w:hint="eastAsia" w:ascii="宋体" w:hAnsi="宋体"/>
          <w:color w:val="auto"/>
          <w:sz w:val="24"/>
          <w:highlight w:val="none"/>
        </w:rPr>
        <w:t xml:space="preserve">第三方（不限于甲方签约主体，下同）所收集、传输、加工、使用、查询和保存的个人身份信息、财产信息、账户信息、信用信息、交易信息、衍生信息及在建立合作关系过程中获取、保存的其他信息进行保密，否则造成损失由乙方承担法律责任并赔偿损失，如果当次没发生实际损失的，按照10万元每次向甲方支付违约金。</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12.4如知悉与本项目相关的第三方侵害甲方知识产权及保密信息的行为，乙方有义务提供线索并配合甲方进行调查取证，协助工商、司法机关查处侵权行为。</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12.5本合同的无效、被撤销、解除、变更或终止等均不影响本条的效力。</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13.不可抗力</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13.1由于发生本合同签订时不能预见、不能避免并不能克服的不可抗力情形，且非由于受影响方过错或疏忽致使直接影响本合同的履行或不能按照本合同项下之约定履行时，遇有不可抗力的一方应当立即书面通知另外两方，并在发生不可抗力之日起30天内，提供不可抗力详情及合同全部不能履行、部分不能履行或需要延期履行理由的有效书面证明，该项证明文件应当由不可抗力发生地的公证机关出具。</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13.2不可抗力事件发生后，受影响方应当及时采取补救措施使另一方因此所受的影响降到最低。如果因受影响方未能或怠于以书面形式通知另一方、未能或怠于采取补救措施而致使另一方所受损失扩大，受影响方应就扩大的损失赔偿另一方。</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14.合同争议解决</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14.1本合同在履行期间，双方发生争议时，在不影响项目进度的前提下，双方可采取友好协商解决；</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14.2协商调解不成的，向甲方所在地人民法院提起诉讼。</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14.3诉讼费除法庭另有裁决外，均应由败诉方负担。</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14.4诉讼期间，除争议的部分外，本合同其它部分仍应继续履行。</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15.合同的转让与修改</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15.1合同双方都不得单方面修改合同内容。拟修改合同内容的一方应当就修改事项列明拟修改条款后以书面形式通知另一方，双方协商同意后，应就修改条款签订补充协议。补充协议必须经双方法定代表人（负责人）或授权代理人签字并加盖公章后方可生效。补充协议为本合同的组成部分，一经签署即具有法律效力。</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15.2未经甲方书面同意，乙方不得将本合同约定的权利和义务转让给第三方、委托第三方代理、交由第三方履行。本合同不得转让和分包。</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15.3合同有效期内，乙方如发生资产重组、并购等情形时，应工商变更登记之日起7日内通知甲方。如因乙方发生资产重组、并购等情形，导致无法履行或无法完全履行本合同，造成损失的，乙方还应承担赔偿责任。</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16.合同效力</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16.1本合同经甲、乙双方法定代表人（负责人）或授权代理人签字并加盖公章之日起生效，有效期为自合同签订日起至甲方不再使用该平台或甲方书面通知乙方不再委托进行维护时结束。</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16.2本合同一式3份，甲方、乙方、备案方各执一份，均具有同等法律效力。</w:t>
      </w:r>
      <w:r/>
    </w:p>
    <w:p>
      <w:pPr>
        <w:pStyle w:val="912"/>
        <w:ind w:firstLine="480"/>
        <w:spacing w:line="360" w:lineRule="auto"/>
        <w:rPr>
          <w:rFonts w:ascii="宋体" w:hAnsi="宋体"/>
          <w:color w:val="auto"/>
          <w:sz w:val="24"/>
          <w:highlight w:val="none"/>
        </w:rPr>
      </w:pPr>
      <w:r>
        <w:rPr>
          <w:rFonts w:hint="eastAsia" w:ascii="宋体" w:hAnsi="宋体"/>
          <w:color w:val="auto"/>
          <w:sz w:val="24"/>
          <w:highlight w:val="none"/>
        </w:rPr>
        <w:t xml:space="preserve">16.3本合同未尽事宜，按中华人民共和国有关法律、法规办理。</w:t>
      </w:r>
      <w:r/>
    </w:p>
    <w:p>
      <w:pPr>
        <w:pStyle w:val="912"/>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甲方（公章）：                          乙方（公章）：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                                  地址：</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法定代表人或授权代表：                  法定代表人或授权代表：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                              联系电话：</w:t>
      </w:r>
      <w:r/>
    </w:p>
    <w:p>
      <w:pPr>
        <w:pStyle w:val="912"/>
        <w:ind w:firstLine="480"/>
        <w:spacing w:line="360" w:lineRule="auto"/>
        <w:rPr>
          <w:rFonts w:ascii="宋体" w:hAnsi="宋体"/>
          <w:color w:val="auto"/>
          <w:sz w:val="24"/>
          <w:highlight w:val="none"/>
        </w:rPr>
      </w:pPr>
      <w:r>
        <w:rPr>
          <w:rFonts w:ascii="宋体" w:hAnsi="宋体"/>
          <w:color w:val="auto"/>
          <w:sz w:val="24"/>
          <w:highlight w:val="none"/>
        </w:rPr>
      </w:r>
      <w:r/>
    </w:p>
    <w:p>
      <w:pPr>
        <w:pStyle w:val="912"/>
        <w:ind w:firstLine="480"/>
        <w:spacing w:line="360" w:lineRule="auto"/>
        <w:rPr>
          <w:rFonts w:ascii="宋体" w:hAnsi="宋体"/>
          <w:color w:val="auto"/>
          <w:sz w:val="24"/>
          <w:highlight w:val="none"/>
        </w:rPr>
      </w:pPr>
      <w:r>
        <w:rPr>
          <w:rFonts w:ascii="宋体" w:hAnsi="宋体"/>
          <w:color w:val="auto"/>
          <w:sz w:val="24"/>
          <w:highlight w:val="none"/>
        </w:rPr>
        <w:t xml:space="preserve">签字日期：    年   月   日      </w:t>
      </w:r>
      <w:r>
        <w:rPr>
          <w:rFonts w:hint="eastAsia" w:ascii="宋体" w:hAnsi="宋体"/>
          <w:color w:val="auto"/>
          <w:sz w:val="24"/>
          <w:highlight w:val="none"/>
        </w:rPr>
        <w:t xml:space="preserve">    </w:t>
      </w:r>
      <w:r/>
    </w:p>
    <w:p>
      <w:pPr>
        <w:jc w:val="center"/>
        <w:rPr>
          <w:rFonts w:ascii="宋体" w:hAnsi="宋体"/>
          <w:b/>
          <w:color w:val="auto"/>
          <w:sz w:val="36"/>
          <w:highlight w:val="none"/>
        </w:rPr>
      </w:pPr>
      <w:r>
        <w:rPr>
          <w:color w:val="auto"/>
          <w:highlight w:val="none"/>
        </w:rPr>
        <w:br w:type="page" w:clear="all"/>
      </w:r>
      <w:r>
        <w:rPr>
          <w:rFonts w:ascii="宋体" w:hAnsi="宋体"/>
          <w:b/>
          <w:color w:val="auto"/>
          <w:sz w:val="36"/>
          <w:highlight w:val="none"/>
        </w:rPr>
        <w:t xml:space="preserve">第四部分</w:t>
      </w:r>
      <w:r>
        <w:rPr>
          <w:rFonts w:hint="eastAsia" w:ascii="宋体" w:hAnsi="宋体"/>
          <w:b/>
          <w:color w:val="auto"/>
          <w:sz w:val="36"/>
          <w:highlight w:val="none"/>
        </w:rPr>
        <w:t xml:space="preserve">  采购需求</w:t>
      </w:r>
      <w:bookmarkStart w:id="82" w:name="EB69fca8740d1f4b0e9a8dbc98881cd3d4"/>
      <w:r/>
      <w:r/>
    </w:p>
    <w:p>
      <w:pPr>
        <w:pStyle w:val="900"/>
        <w:spacing w:before="240" w:after="240"/>
        <w:rPr>
          <w:color w:val="auto"/>
          <w:highlight w:val="none"/>
        </w:rPr>
      </w:pPr>
      <w:r>
        <w:rPr>
          <w:rStyle w:val="899"/>
          <w:color w:val="auto"/>
          <w:highlight w:val="none"/>
        </w:rPr>
        <w:t xml:space="preserve">一.项目概况</w:t>
      </w:r>
      <w:r/>
    </w:p>
    <w:p>
      <w:pPr>
        <w:pStyle w:val="900"/>
        <w:ind w:firstLine="420"/>
        <w:spacing w:before="240" w:after="240" w:line="360" w:lineRule="atLeast"/>
        <w:rPr>
          <w:rFonts w:hint="eastAsia" w:ascii="宋体" w:hAnsi="宋体"/>
          <w:color w:val="auto"/>
          <w:sz w:val="24"/>
          <w:highlight w:val="none"/>
        </w:rPr>
      </w:pPr>
      <w:r>
        <w:rPr>
          <w:rFonts w:hint="eastAsia" w:ascii="宋体" w:hAnsi="宋体"/>
          <w:color w:val="auto"/>
          <w:sz w:val="24"/>
          <w:highlight w:val="none"/>
        </w:rPr>
        <w:t xml:space="preserve">丹阳人社局“金保工程”网络和信息安全系统建成于2015年，到目前已连续运行10年时间，设备原厂维保服务以及原供应商提供的维保服务均早已过期。该项目网络和安全设备在整个丹阳“金保工程”信息系统中发挥着重要作用。目前“金保工程”网络承载着全市31家医院、462多家药店、12个乡镇审批中心、经发局的人社专网通信与数据交换，关系全市老百姓使用社保卡就医、购药等民生服务以及我市人社系统操作、经办江苏省人社一体化平台系统业务。为保证丹阳市“金保工程”网络系统的平稳运行，需要对这些网络和安全硬件设备购买维保服务。</w:t>
      </w:r>
      <w:r/>
    </w:p>
    <w:p>
      <w:pPr>
        <w:pStyle w:val="900"/>
        <w:ind w:firstLine="420"/>
        <w:spacing w:before="240" w:after="240" w:line="360" w:lineRule="atLeast"/>
        <w:rPr>
          <w:rFonts w:hint="eastAsia" w:ascii="宋体" w:hAnsi="宋体"/>
          <w:color w:val="auto"/>
          <w:sz w:val="24"/>
          <w:highlight w:val="none"/>
        </w:rPr>
      </w:pPr>
      <w:r>
        <w:rPr>
          <w:rFonts w:hint="eastAsia" w:ascii="宋体" w:hAnsi="宋体"/>
          <w:color w:val="auto"/>
          <w:sz w:val="24"/>
          <w:highlight w:val="none"/>
        </w:rPr>
        <w:t xml:space="preserve">本次项目维保所涉及到的网络和安全设备系统及服务包括：交换机、路由器、负载均衡交换机、信息交换系统、网络线路、安全平台、认证系统，上网行为管理设备，IPS、防火墙、杀毒系统、网络审计系统、数据库审计设备、入侵检测系统、漏洞扫描系统、以及供应商运维服务等。</w:t>
      </w:r>
      <w:r/>
    </w:p>
    <w:p>
      <w:pPr>
        <w:pStyle w:val="900"/>
        <w:ind w:firstLine="420"/>
        <w:spacing w:before="240" w:after="240" w:line="360" w:lineRule="atLeast"/>
        <w:rPr>
          <w:rFonts w:eastAsia="宋体"/>
          <w:color w:val="auto"/>
          <w:highlight w:val="none"/>
        </w:rPr>
      </w:pPr>
      <w:r>
        <w:rPr>
          <w:rFonts w:hint="eastAsia" w:ascii="宋体" w:hAnsi="宋体" w:eastAsia="宋体" w:cs="宋体"/>
          <w:color w:val="auto"/>
          <w:highlight w:val="none"/>
        </w:rPr>
        <w:t xml:space="preserve">项目所属行业：</w:t>
      </w:r>
      <w:r>
        <w:rPr>
          <w:rFonts w:hint="eastAsia" w:ascii="宋体" w:hAnsi="宋体" w:eastAsia="宋体" w:cs="宋体"/>
          <w:color w:val="auto"/>
          <w:highlight w:val="none"/>
          <w:lang w:eastAsia="zh-CN"/>
        </w:rPr>
        <w:t xml:space="preserve">信息技术服务</w:t>
      </w:r>
      <w:r>
        <w:rPr>
          <w:rFonts w:hint="eastAsia" w:ascii="宋体" w:hAnsi="宋体" w:eastAsia="宋体" w:cs="宋体"/>
          <w:color w:val="auto"/>
          <w:highlight w:val="none"/>
        </w:rPr>
        <w:t xml:space="preserve">业。</w:t>
      </w:r>
      <w:r/>
    </w:p>
    <w:p>
      <w:pPr>
        <w:pStyle w:val="900"/>
        <w:spacing w:before="240" w:after="240"/>
        <w:rPr>
          <w:color w:val="auto"/>
          <w:highlight w:val="none"/>
        </w:rPr>
      </w:pPr>
      <w:r>
        <w:rPr>
          <w:rStyle w:val="899"/>
          <w:color w:val="auto"/>
          <w:highlight w:val="none"/>
        </w:rPr>
        <w:t xml:space="preserve">二.</w:t>
      </w:r>
      <w:r>
        <w:rPr>
          <w:rFonts w:hint="eastAsia"/>
          <w:color w:val="auto"/>
          <w:highlight w:val="none"/>
        </w:rPr>
        <w:t xml:space="preserve"> </w:t>
      </w:r>
      <w:r>
        <w:rPr>
          <w:rStyle w:val="899"/>
          <w:rFonts w:hint="eastAsia"/>
          <w:color w:val="auto"/>
          <w:highlight w:val="none"/>
        </w:rPr>
        <w:t xml:space="preserve">采购预算（最高限价）</w:t>
      </w:r>
      <w:r/>
    </w:p>
    <w:p>
      <w:pPr>
        <w:pStyle w:val="900"/>
        <w:ind w:firstLine="424"/>
        <w:spacing w:before="240" w:after="240"/>
        <w:rPr>
          <w:rStyle w:val="899"/>
          <w:color w:val="auto"/>
          <w:highlight w:val="none"/>
        </w:rPr>
      </w:pPr>
      <w:r>
        <w:rPr>
          <w:rFonts w:hint="eastAsia" w:ascii="宋体" w:hAnsi="宋体" w:eastAsia="宋体" w:cs="宋体"/>
          <w:color w:val="auto"/>
          <w:highlight w:val="none"/>
        </w:rPr>
        <w:t xml:space="preserve">采购预算（最高限价）：人民币</w:t>
      </w:r>
      <w:r>
        <w:rPr>
          <w:rFonts w:hint="eastAsia" w:ascii="宋体" w:hAnsi="宋体" w:eastAsia="宋体" w:cs="宋体"/>
          <w:color w:val="auto"/>
          <w:highlight w:val="none"/>
          <w:lang w:eastAsia="zh-CN"/>
        </w:rPr>
        <w:t xml:space="preserve">163.5万元</w:t>
      </w:r>
      <w:r>
        <w:rPr>
          <w:rFonts w:hint="eastAsia" w:ascii="宋体" w:hAnsi="宋体" w:eastAsia="宋体" w:cs="宋体"/>
          <w:color w:val="auto"/>
          <w:highlight w:val="none"/>
        </w:rPr>
        <w:t xml:space="preserve">。</w:t>
      </w:r>
      <w:r/>
    </w:p>
    <w:p>
      <w:pPr>
        <w:pStyle w:val="900"/>
        <w:spacing w:before="240" w:after="240"/>
        <w:rPr>
          <w:color w:val="auto"/>
          <w:highlight w:val="none"/>
        </w:rPr>
      </w:pPr>
      <w:r>
        <w:rPr>
          <w:rStyle w:val="899"/>
          <w:rFonts w:hint="eastAsia"/>
          <w:color w:val="auto"/>
          <w:highlight w:val="none"/>
        </w:rPr>
        <w:t xml:space="preserve">三</w:t>
      </w:r>
      <w:r>
        <w:rPr>
          <w:rStyle w:val="899"/>
          <w:color w:val="auto"/>
          <w:highlight w:val="none"/>
        </w:rPr>
        <w:t xml:space="preserve">.采购标的汇总表</w:t>
      </w:r>
      <w:r/>
    </w:p>
    <w:p>
      <w:pPr>
        <w:pStyle w:val="900"/>
        <w:spacing w:before="240" w:after="240"/>
        <w:rPr>
          <w:color w:val="auto"/>
          <w:highlight w:val="none"/>
        </w:rPr>
      </w:pPr>
      <w:r>
        <w:rPr>
          <w:rFonts w:ascii="宋体" w:hAnsi="宋体" w:eastAsia="宋体" w:cs="宋体"/>
          <w:color w:val="auto"/>
          <w:highlight w:val="none"/>
        </w:rPr>
        <w:t xml:space="preserve">（一）采购标的</w:t>
      </w:r>
      <w:r/>
    </w:p>
    <w:p>
      <w:pPr>
        <w:pStyle w:val="900"/>
        <w:spacing w:before="240" w:after="240"/>
        <w:rPr>
          <w:color w:val="auto"/>
          <w:highlight w:val="none"/>
        </w:rPr>
      </w:pPr>
      <w:r>
        <w:rPr>
          <w:rFonts w:ascii="宋体" w:hAnsi="宋体" w:eastAsia="宋体" w:cs="宋体"/>
          <w:color w:val="auto"/>
          <w:highlight w:val="none"/>
        </w:rPr>
        <w:t xml:space="preserve">1.服务类标的</w:t>
      </w:r>
      <w:r/>
    </w:p>
    <w:tbl>
      <w:tblPr>
        <w:tblStyle w:val="663"/>
        <w:tblW w:w="4930" w:type="pct"/>
        <w:tblInd w:w="20"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autofit"/>
        <w:tblCellMar>
          <w:left w:w="108" w:type="dxa"/>
          <w:top w:w="0" w:type="dxa"/>
          <w:right w:w="108" w:type="dxa"/>
          <w:bottom w:w="0" w:type="dxa"/>
        </w:tblCellMar>
        <w:tblLook w:val="04A0" w:firstRow="1" w:lastRow="0" w:firstColumn="1" w:lastColumn="0" w:noHBand="0" w:noVBand="1"/>
      </w:tblPr>
      <w:tblGrid>
        <w:gridCol w:w="785"/>
        <w:gridCol w:w="1846"/>
        <w:gridCol w:w="846"/>
        <w:gridCol w:w="952"/>
        <w:gridCol w:w="4014"/>
        <w:gridCol w:w="1005"/>
      </w:tblGrid>
      <w:tr>
        <w:trPr/>
        <w:tc>
          <w:tcPr>
            <w:tcMar>
              <w:left w:w="108" w:type="dxa"/>
              <w:top w:w="0" w:type="dxa"/>
              <w:right w:w="108" w:type="dxa"/>
              <w:bottom w:w="0" w:type="dxa"/>
            </w:tcMar>
            <w:tcW w:w="785" w:type="dxa"/>
            <w:vAlign w:val="center"/>
            <w:textDirection w:val="lrTb"/>
            <w:noWrap w:val="false"/>
          </w:tcPr>
          <w:p>
            <w:pPr>
              <w:pStyle w:val="900"/>
              <w:jc w:val="center"/>
              <w:rPr>
                <w:rFonts w:ascii="宋体" w:hAnsi="宋体" w:eastAsia="宋体" w:cs="宋体"/>
                <w:b/>
                <w:bCs/>
                <w:color w:val="auto"/>
                <w:highlight w:val="none"/>
              </w:rPr>
            </w:pPr>
            <w:r>
              <w:rPr>
                <w:rFonts w:ascii="宋体" w:hAnsi="宋体" w:eastAsia="宋体" w:cs="宋体"/>
                <w:b/>
                <w:bCs/>
                <w:color w:val="auto"/>
                <w:highlight w:val="none"/>
              </w:rPr>
              <w:t xml:space="preserve">序号</w:t>
            </w:r>
            <w:r/>
          </w:p>
        </w:tc>
        <w:tc>
          <w:tcPr>
            <w:tcMar>
              <w:left w:w="108" w:type="dxa"/>
              <w:top w:w="0" w:type="dxa"/>
              <w:right w:w="108" w:type="dxa"/>
              <w:bottom w:w="0" w:type="dxa"/>
            </w:tcMar>
            <w:tcW w:w="1846" w:type="dxa"/>
            <w:vAlign w:val="center"/>
            <w:textDirection w:val="lrTb"/>
            <w:noWrap w:val="false"/>
          </w:tcPr>
          <w:p>
            <w:pPr>
              <w:pStyle w:val="900"/>
              <w:jc w:val="center"/>
              <w:spacing w:line="360" w:lineRule="auto"/>
              <w:rPr>
                <w:rFonts w:ascii="宋体" w:hAnsi="宋体" w:eastAsia="宋体" w:cs="宋体"/>
                <w:b/>
                <w:bCs/>
                <w:color w:val="auto"/>
                <w:highlight w:val="none"/>
              </w:rPr>
            </w:pPr>
            <w:r>
              <w:rPr>
                <w:rFonts w:ascii="宋体" w:hAnsi="宋体" w:eastAsia="宋体" w:cs="宋体"/>
                <w:b/>
                <w:bCs/>
                <w:color w:val="auto"/>
                <w:highlight w:val="none"/>
              </w:rPr>
              <w:t xml:space="preserve">标的名称</w:t>
            </w:r>
            <w:r/>
          </w:p>
        </w:tc>
        <w:tc>
          <w:tcPr>
            <w:tcMar>
              <w:left w:w="108" w:type="dxa"/>
              <w:top w:w="0" w:type="dxa"/>
              <w:right w:w="108" w:type="dxa"/>
              <w:bottom w:w="0" w:type="dxa"/>
            </w:tcMar>
            <w:tcW w:w="846" w:type="dxa"/>
            <w:vAlign w:val="center"/>
            <w:textDirection w:val="lrTb"/>
            <w:noWrap w:val="false"/>
          </w:tcPr>
          <w:p>
            <w:pPr>
              <w:pStyle w:val="900"/>
              <w:jc w:val="center"/>
              <w:spacing w:line="360" w:lineRule="auto"/>
              <w:rPr>
                <w:rFonts w:ascii="宋体" w:hAnsi="宋体" w:eastAsia="宋体" w:cs="宋体"/>
                <w:b/>
                <w:bCs/>
                <w:color w:val="auto"/>
                <w:highlight w:val="none"/>
              </w:rPr>
            </w:pPr>
            <w:r>
              <w:rPr>
                <w:rFonts w:ascii="宋体" w:hAnsi="宋体" w:eastAsia="宋体" w:cs="宋体"/>
                <w:b/>
                <w:bCs/>
                <w:color w:val="auto"/>
                <w:highlight w:val="none"/>
              </w:rPr>
              <w:t xml:space="preserve">计量单位</w:t>
            </w:r>
            <w:r/>
          </w:p>
        </w:tc>
        <w:tc>
          <w:tcPr>
            <w:tcMar>
              <w:left w:w="108" w:type="dxa"/>
              <w:top w:w="0" w:type="dxa"/>
              <w:right w:w="108" w:type="dxa"/>
              <w:bottom w:w="0" w:type="dxa"/>
            </w:tcMar>
            <w:tcW w:w="952" w:type="dxa"/>
            <w:vAlign w:val="center"/>
            <w:textDirection w:val="lrTb"/>
            <w:noWrap w:val="false"/>
          </w:tcPr>
          <w:p>
            <w:pPr>
              <w:pStyle w:val="900"/>
              <w:jc w:val="center"/>
              <w:spacing w:line="360" w:lineRule="auto"/>
              <w:rPr>
                <w:rFonts w:ascii="宋体" w:hAnsi="宋体" w:eastAsia="宋体" w:cs="宋体"/>
                <w:b/>
                <w:bCs/>
                <w:color w:val="auto"/>
                <w:highlight w:val="none"/>
              </w:rPr>
            </w:pPr>
            <w:r>
              <w:rPr>
                <w:rFonts w:ascii="宋体" w:hAnsi="宋体" w:eastAsia="宋体" w:cs="宋体"/>
                <w:b/>
                <w:bCs/>
                <w:color w:val="auto"/>
                <w:highlight w:val="none"/>
              </w:rPr>
              <w:t xml:space="preserve">数量</w:t>
            </w:r>
            <w:r/>
          </w:p>
        </w:tc>
        <w:tc>
          <w:tcPr>
            <w:tcMar>
              <w:left w:w="108" w:type="dxa"/>
              <w:top w:w="0" w:type="dxa"/>
              <w:right w:w="108" w:type="dxa"/>
              <w:bottom w:w="0" w:type="dxa"/>
            </w:tcMar>
            <w:tcW w:w="4014" w:type="dxa"/>
            <w:vAlign w:val="center"/>
            <w:textDirection w:val="lrTb"/>
            <w:noWrap w:val="false"/>
          </w:tcPr>
          <w:p>
            <w:pPr>
              <w:pStyle w:val="900"/>
              <w:jc w:val="center"/>
              <w:spacing w:line="360" w:lineRule="auto"/>
              <w:rPr>
                <w:rFonts w:ascii="宋体" w:hAnsi="宋体" w:eastAsia="宋体" w:cs="宋体"/>
                <w:b/>
                <w:bCs/>
                <w:color w:val="auto"/>
                <w:highlight w:val="none"/>
              </w:rPr>
            </w:pPr>
            <w:r>
              <w:rPr>
                <w:rFonts w:ascii="宋体" w:hAnsi="宋体" w:eastAsia="宋体" w:cs="宋体"/>
                <w:b/>
                <w:bCs/>
                <w:color w:val="auto"/>
                <w:highlight w:val="none"/>
              </w:rPr>
              <w:t xml:space="preserve">服务要求简述</w:t>
            </w:r>
            <w:r/>
          </w:p>
        </w:tc>
        <w:tc>
          <w:tcPr>
            <w:tcMar>
              <w:left w:w="108" w:type="dxa"/>
              <w:top w:w="0" w:type="dxa"/>
              <w:right w:w="108" w:type="dxa"/>
              <w:bottom w:w="0" w:type="dxa"/>
            </w:tcMar>
            <w:tcW w:w="1005" w:type="dxa"/>
            <w:vAlign w:val="center"/>
            <w:textDirection w:val="lrTb"/>
            <w:noWrap w:val="false"/>
          </w:tcPr>
          <w:p>
            <w:pPr>
              <w:pStyle w:val="900"/>
              <w:jc w:val="center"/>
              <w:spacing w:line="360" w:lineRule="auto"/>
              <w:rPr>
                <w:rFonts w:ascii="宋体" w:hAnsi="宋体" w:eastAsia="宋体" w:cs="宋体"/>
                <w:b/>
                <w:bCs/>
                <w:color w:val="auto"/>
                <w:highlight w:val="none"/>
              </w:rPr>
            </w:pPr>
            <w:r>
              <w:rPr>
                <w:rFonts w:ascii="宋体" w:hAnsi="宋体" w:eastAsia="宋体" w:cs="宋体"/>
                <w:b/>
                <w:bCs/>
                <w:color w:val="auto"/>
                <w:highlight w:val="none"/>
              </w:rPr>
              <w:t xml:space="preserve">备注</w:t>
            </w:r>
            <w:r/>
          </w:p>
        </w:tc>
      </w:tr>
      <w:tr>
        <w:trPr/>
        <w:tc>
          <w:tcPr>
            <w:tcMar>
              <w:left w:w="108" w:type="dxa"/>
              <w:top w:w="0" w:type="dxa"/>
              <w:right w:w="108" w:type="dxa"/>
              <w:bottom w:w="0" w:type="dxa"/>
            </w:tcMar>
            <w:tcW w:w="785" w:type="dxa"/>
            <w:vAlign w:val="center"/>
            <w:textDirection w:val="lrTb"/>
            <w:noWrap w:val="false"/>
          </w:tcPr>
          <w:p>
            <w:pPr>
              <w:ind w:firstLine="420"/>
              <w:jc w:val="center"/>
              <w:widowControl/>
              <w:rPr>
                <w:rFonts w:ascii="宋体" w:hAnsi="宋体" w:eastAsia="宋体" w:cs="宋体"/>
                <w:color w:val="auto"/>
                <w:highlight w:val="none"/>
              </w:rPr>
            </w:pPr>
            <w:r>
              <w:rPr>
                <w:rFonts w:hint="eastAsia" w:ascii="宋体" w:hAnsi="宋体" w:cs="宋体"/>
                <w:color w:val="auto"/>
                <w:sz w:val="21"/>
                <w:szCs w:val="21"/>
                <w:highlight w:val="none"/>
                <w:lang w:bidi="ar"/>
              </w:rPr>
              <w:t xml:space="preserve">1</w:t>
            </w:r>
            <w:r/>
          </w:p>
        </w:tc>
        <w:tc>
          <w:tcPr>
            <w:tcMar>
              <w:left w:w="108" w:type="dxa"/>
              <w:top w:w="0" w:type="dxa"/>
              <w:right w:w="108" w:type="dxa"/>
              <w:bottom w:w="0" w:type="dxa"/>
            </w:tcMar>
            <w:tcW w:w="1846" w:type="dxa"/>
            <w:vAlign w:val="center"/>
            <w:textDirection w:val="lrTb"/>
            <w:noWrap w:val="false"/>
          </w:tcPr>
          <w:p>
            <w:pPr>
              <w:jc w:val="left"/>
              <w:widowControl/>
              <w:rPr>
                <w:rFonts w:hint="eastAsia" w:ascii="宋体" w:hAnsi="宋体" w:eastAsia="宋体" w:cs="宋体"/>
                <w:color w:val="auto"/>
                <w:highlight w:val="none"/>
                <w:lang w:eastAsia="zh-CN"/>
              </w:rPr>
            </w:pPr>
            <w:r>
              <w:rPr>
                <w:rFonts w:hint="eastAsia" w:ascii="宋体" w:hAnsi="宋体" w:cs="宋体"/>
                <w:color w:val="auto"/>
                <w:sz w:val="21"/>
                <w:szCs w:val="21"/>
                <w:highlight w:val="none"/>
                <w:lang w:val="en-US" w:eastAsia="zh-CN" w:bidi="ar"/>
              </w:rPr>
              <w:t xml:space="preserve">网络及网安</w:t>
            </w:r>
            <w:r>
              <w:rPr>
                <w:rFonts w:hint="eastAsia" w:ascii="宋体" w:hAnsi="宋体" w:cs="宋体"/>
                <w:color w:val="auto"/>
                <w:sz w:val="21"/>
                <w:szCs w:val="21"/>
                <w:highlight w:val="none"/>
                <w:lang w:bidi="ar"/>
              </w:rPr>
              <w:t xml:space="preserve">维保服务</w:t>
            </w:r>
            <w:r/>
          </w:p>
        </w:tc>
        <w:tc>
          <w:tcPr>
            <w:tcMar>
              <w:left w:w="108" w:type="dxa"/>
              <w:top w:w="0" w:type="dxa"/>
              <w:right w:w="108" w:type="dxa"/>
              <w:bottom w:w="0" w:type="dxa"/>
            </w:tcMar>
            <w:tcW w:w="846" w:type="dxa"/>
            <w:vAlign w:val="center"/>
            <w:textDirection w:val="lrTb"/>
            <w:noWrap w:val="false"/>
          </w:tcPr>
          <w:p>
            <w:pPr>
              <w:ind w:firstLine="420"/>
              <w:jc w:val="center"/>
              <w:widowControl/>
              <w:rPr>
                <w:rFonts w:hint="eastAsia" w:ascii="宋体" w:hAnsi="宋体" w:eastAsia="宋体" w:cs="宋体"/>
                <w:color w:val="auto"/>
                <w:highlight w:val="none"/>
                <w:lang w:val="en-US" w:eastAsia="zh-CN"/>
              </w:rPr>
            </w:pPr>
            <w:r>
              <w:rPr>
                <w:rFonts w:hint="eastAsia" w:ascii="宋体" w:hAnsi="宋体" w:cs="宋体"/>
                <w:color w:val="auto"/>
                <w:sz w:val="21"/>
                <w:szCs w:val="21"/>
                <w:highlight w:val="none"/>
                <w:lang w:bidi="ar"/>
              </w:rPr>
              <w:t xml:space="preserve">批</w:t>
            </w:r>
            <w:r/>
          </w:p>
        </w:tc>
        <w:tc>
          <w:tcPr>
            <w:tcMar>
              <w:left w:w="108" w:type="dxa"/>
              <w:top w:w="0" w:type="dxa"/>
              <w:right w:w="108" w:type="dxa"/>
              <w:bottom w:w="0" w:type="dxa"/>
            </w:tcMar>
            <w:tcW w:w="952" w:type="dxa"/>
            <w:vAlign w:val="center"/>
            <w:textDirection w:val="lrTb"/>
            <w:noWrap w:val="false"/>
          </w:tcPr>
          <w:p>
            <w:pPr>
              <w:ind w:firstLine="420"/>
              <w:jc w:val="center"/>
              <w:widowControl/>
              <w:rPr>
                <w:rFonts w:hint="default" w:ascii="宋体" w:hAnsi="宋体" w:eastAsia="宋体" w:cs="宋体"/>
                <w:color w:val="auto"/>
                <w:highlight w:val="none"/>
                <w:lang w:val="en-US" w:eastAsia="zh-CN"/>
              </w:rPr>
            </w:pPr>
            <w:r>
              <w:rPr>
                <w:rFonts w:hint="eastAsia" w:ascii="宋体" w:hAnsi="宋体" w:cs="宋体"/>
                <w:color w:val="auto"/>
                <w:sz w:val="21"/>
                <w:szCs w:val="21"/>
                <w:highlight w:val="none"/>
                <w:lang w:bidi="ar"/>
              </w:rPr>
              <w:t xml:space="preserve">1</w:t>
            </w:r>
            <w:r/>
          </w:p>
        </w:tc>
        <w:tc>
          <w:tcPr>
            <w:tcMar>
              <w:left w:w="108" w:type="dxa"/>
              <w:top w:w="0" w:type="dxa"/>
              <w:right w:w="108" w:type="dxa"/>
              <w:bottom w:w="0" w:type="dxa"/>
            </w:tcMar>
            <w:tcW w:w="4014" w:type="dxa"/>
            <w:vAlign w:val="center"/>
            <w:textDirection w:val="lrTb"/>
            <w:noWrap w:val="false"/>
          </w:tcPr>
          <w:p>
            <w:pPr>
              <w:jc w:val="left"/>
              <w:widowControl/>
              <w:rPr>
                <w:rFonts w:hint="eastAsia" w:ascii="宋体" w:hAnsi="宋体" w:eastAsia="宋体" w:cs="宋体"/>
                <w:color w:val="auto"/>
                <w:highlight w:val="none"/>
                <w:lang w:eastAsia="zh-CN"/>
              </w:rPr>
            </w:pPr>
            <w:r>
              <w:rPr>
                <w:rFonts w:hint="eastAsia" w:ascii="宋体" w:hAnsi="宋体" w:cs="宋体"/>
                <w:color w:val="auto"/>
                <w:sz w:val="21"/>
                <w:szCs w:val="21"/>
                <w:highlight w:val="none"/>
                <w:lang w:bidi="ar"/>
              </w:rPr>
              <w:t xml:space="preserve">核心机房</w:t>
            </w:r>
            <w:r>
              <w:rPr>
                <w:rFonts w:hint="eastAsia" w:ascii="宋体" w:hAnsi="宋体" w:cs="宋体"/>
                <w:color w:val="auto"/>
                <w:sz w:val="21"/>
                <w:szCs w:val="21"/>
                <w:highlight w:val="none"/>
                <w:lang w:val="en-US" w:eastAsia="zh-CN" w:bidi="ar"/>
              </w:rPr>
              <w:t xml:space="preserve">网络及网安</w:t>
            </w:r>
            <w:r>
              <w:rPr>
                <w:rFonts w:hint="eastAsia" w:ascii="宋体" w:hAnsi="宋体" w:cs="宋体"/>
                <w:color w:val="auto"/>
                <w:sz w:val="21"/>
                <w:szCs w:val="21"/>
                <w:highlight w:val="none"/>
                <w:lang w:bidi="ar"/>
              </w:rPr>
              <w:t xml:space="preserve">维保服务，主要包括系统巡检、故障预防、障碍处理、性能调优、驻场服务等方面全方位的技术服务。</w:t>
            </w:r>
            <w:r/>
          </w:p>
        </w:tc>
        <w:tc>
          <w:tcPr>
            <w:tcMar>
              <w:left w:w="108" w:type="dxa"/>
              <w:top w:w="0" w:type="dxa"/>
              <w:right w:w="108" w:type="dxa"/>
              <w:bottom w:w="0" w:type="dxa"/>
            </w:tcMar>
            <w:tcW w:w="1005" w:type="dxa"/>
            <w:vAlign w:val="center"/>
            <w:vMerge w:val="restart"/>
            <w:textDirection w:val="lrTb"/>
            <w:noWrap w:val="false"/>
          </w:tcPr>
          <w:p>
            <w:pPr>
              <w:jc w:val="center"/>
              <w:widowControl/>
              <w:rPr>
                <w:rFonts w:ascii="宋体" w:hAnsi="宋体" w:eastAsia="宋体" w:cs="宋体"/>
                <w:color w:val="auto"/>
                <w:highlight w:val="none"/>
              </w:rPr>
            </w:pPr>
            <w:r>
              <w:rPr>
                <w:rFonts w:ascii="宋体" w:hAnsi="宋体" w:eastAsia="宋体" w:cs="宋体"/>
                <w:color w:val="auto"/>
                <w:highlight w:val="none"/>
              </w:rPr>
            </w:r>
            <w:r/>
          </w:p>
        </w:tc>
      </w:tr>
      <w:tr>
        <w:trPr/>
        <w:tc>
          <w:tcPr>
            <w:tcMar>
              <w:left w:w="108" w:type="dxa"/>
              <w:top w:w="0" w:type="dxa"/>
              <w:right w:w="108" w:type="dxa"/>
              <w:bottom w:w="0" w:type="dxa"/>
            </w:tcMar>
            <w:tcW w:w="785" w:type="dxa"/>
            <w:vAlign w:val="center"/>
            <w:textDirection w:val="lrTb"/>
            <w:noWrap w:val="false"/>
          </w:tcPr>
          <w:p>
            <w:pPr>
              <w:jc w:val="center"/>
              <w:widowControl/>
              <w:rPr>
                <w:rFonts w:hint="eastAsia" w:ascii="宋体" w:hAnsi="宋体" w:eastAsia="宋体" w:cs="宋体"/>
                <w:color w:val="auto"/>
                <w:highlight w:val="none"/>
                <w:lang w:val="en-US" w:eastAsia="zh-CN"/>
              </w:rPr>
            </w:pPr>
            <w:r>
              <w:rPr>
                <w:color w:val="auto"/>
                <w:sz w:val="21"/>
                <w:szCs w:val="21"/>
                <w:highlight w:val="none"/>
                <w:lang w:bidi="ar"/>
              </w:rPr>
              <w:t xml:space="preserve">2</w:t>
            </w:r>
            <w:r/>
          </w:p>
        </w:tc>
        <w:tc>
          <w:tcPr>
            <w:tcMar>
              <w:left w:w="108" w:type="dxa"/>
              <w:top w:w="0" w:type="dxa"/>
              <w:right w:w="108" w:type="dxa"/>
              <w:bottom w:w="0" w:type="dxa"/>
            </w:tcMar>
            <w:tcW w:w="1846" w:type="dxa"/>
            <w:vAlign w:val="center"/>
            <w:textDirection w:val="lrTb"/>
            <w:noWrap w:val="false"/>
          </w:tcPr>
          <w:p>
            <w:pPr>
              <w:jc w:val="left"/>
              <w:widowControl/>
              <w:rPr>
                <w:rFonts w:hint="eastAsia" w:ascii="宋体" w:hAnsi="宋体" w:eastAsia="宋体" w:cs="宋体"/>
                <w:color w:val="auto"/>
                <w:highlight w:val="none"/>
                <w:lang w:eastAsia="zh-CN"/>
              </w:rPr>
            </w:pPr>
            <w:r>
              <w:rPr>
                <w:rFonts w:hint="eastAsia" w:ascii="宋体" w:hAnsi="宋体" w:cs="宋体"/>
                <w:color w:val="auto"/>
                <w:sz w:val="21"/>
                <w:szCs w:val="21"/>
                <w:highlight w:val="none"/>
                <w:lang w:bidi="ar"/>
              </w:rPr>
              <w:t xml:space="preserve">综合柜员制大厅、维权服务大厅设施设备</w:t>
            </w:r>
            <w:r>
              <w:rPr>
                <w:rStyle w:val="972"/>
                <w:rFonts w:hint="default"/>
                <w:color w:val="auto"/>
                <w:sz w:val="21"/>
                <w:szCs w:val="21"/>
                <w:highlight w:val="none"/>
                <w:lang w:bidi="ar"/>
              </w:rPr>
              <w:t xml:space="preserve">维保服务</w:t>
            </w:r>
            <w:r/>
          </w:p>
        </w:tc>
        <w:tc>
          <w:tcPr>
            <w:tcMar>
              <w:left w:w="108" w:type="dxa"/>
              <w:top w:w="0" w:type="dxa"/>
              <w:right w:w="108" w:type="dxa"/>
              <w:bottom w:w="0" w:type="dxa"/>
            </w:tcMar>
            <w:tcW w:w="846" w:type="dxa"/>
            <w:vAlign w:val="center"/>
            <w:textDirection w:val="lrTb"/>
            <w:noWrap w:val="false"/>
          </w:tcPr>
          <w:p>
            <w:pPr>
              <w:ind w:firstLine="420"/>
              <w:jc w:val="center"/>
              <w:widowControl/>
              <w:rPr>
                <w:rFonts w:hint="eastAsia" w:ascii="宋体" w:hAnsi="宋体" w:eastAsia="宋体" w:cs="宋体"/>
                <w:color w:val="auto"/>
                <w:highlight w:val="none"/>
                <w:lang w:val="en-US" w:eastAsia="zh-CN"/>
              </w:rPr>
            </w:pPr>
            <w:r>
              <w:rPr>
                <w:rFonts w:hint="eastAsia" w:ascii="宋体" w:hAnsi="宋体" w:cs="宋体"/>
                <w:color w:val="auto"/>
                <w:sz w:val="21"/>
                <w:szCs w:val="21"/>
                <w:highlight w:val="none"/>
                <w:lang w:bidi="ar"/>
              </w:rPr>
              <w:t xml:space="preserve">批</w:t>
            </w:r>
            <w:r/>
          </w:p>
        </w:tc>
        <w:tc>
          <w:tcPr>
            <w:tcMar>
              <w:left w:w="108" w:type="dxa"/>
              <w:top w:w="0" w:type="dxa"/>
              <w:right w:w="108" w:type="dxa"/>
              <w:bottom w:w="0" w:type="dxa"/>
            </w:tcMar>
            <w:tcW w:w="952" w:type="dxa"/>
            <w:vAlign w:val="center"/>
            <w:textDirection w:val="lrTb"/>
            <w:noWrap w:val="false"/>
          </w:tcPr>
          <w:p>
            <w:pPr>
              <w:ind w:firstLine="420"/>
              <w:jc w:val="center"/>
              <w:widowControl/>
              <w:rPr>
                <w:rFonts w:hint="default" w:ascii="宋体" w:hAnsi="宋体" w:eastAsia="宋体" w:cs="宋体"/>
                <w:color w:val="auto"/>
                <w:highlight w:val="none"/>
                <w:lang w:val="en-US" w:eastAsia="zh-CN"/>
              </w:rPr>
            </w:pPr>
            <w:r>
              <w:rPr>
                <w:rFonts w:hint="eastAsia" w:ascii="宋体" w:hAnsi="宋体" w:cs="宋体"/>
                <w:color w:val="auto"/>
                <w:sz w:val="21"/>
                <w:szCs w:val="21"/>
                <w:highlight w:val="none"/>
                <w:lang w:bidi="ar"/>
              </w:rPr>
              <w:t xml:space="preserve">1</w:t>
            </w:r>
            <w:r/>
          </w:p>
        </w:tc>
        <w:tc>
          <w:tcPr>
            <w:tcMar>
              <w:left w:w="108" w:type="dxa"/>
              <w:top w:w="0" w:type="dxa"/>
              <w:right w:w="108" w:type="dxa"/>
              <w:bottom w:w="0" w:type="dxa"/>
            </w:tcMar>
            <w:tcW w:w="4014" w:type="dxa"/>
            <w:vAlign w:val="center"/>
            <w:textDirection w:val="lrTb"/>
            <w:noWrap w:val="false"/>
          </w:tcPr>
          <w:p>
            <w:pPr>
              <w:jc w:val="left"/>
              <w:widowControl/>
              <w:rPr>
                <w:rFonts w:hint="eastAsia" w:ascii="宋体" w:hAnsi="宋体" w:eastAsia="宋体" w:cs="宋体"/>
                <w:color w:val="auto"/>
                <w:highlight w:val="none"/>
                <w:lang w:eastAsia="zh-CN"/>
              </w:rPr>
            </w:pPr>
            <w:r>
              <w:rPr>
                <w:rFonts w:hint="eastAsia" w:ascii="宋体" w:hAnsi="宋体" w:cs="宋体"/>
                <w:color w:val="auto"/>
                <w:sz w:val="21"/>
                <w:szCs w:val="21"/>
                <w:highlight w:val="none"/>
                <w:lang w:bidi="ar"/>
              </w:rPr>
              <w:t xml:space="preserve">对采购人综合柜员制大厅的排队叫号系统、监控系统、大厅LED全彩电子屏、室外LED全彩电子屏、扩声系统、业务终端及外设系统进行维保。</w:t>
            </w:r>
            <w:r/>
          </w:p>
        </w:tc>
        <w:tc>
          <w:tcPr>
            <w:tcMar>
              <w:left w:w="108" w:type="dxa"/>
              <w:top w:w="0" w:type="dxa"/>
              <w:right w:w="108" w:type="dxa"/>
              <w:bottom w:w="0" w:type="dxa"/>
            </w:tcMar>
            <w:tcW w:w="1005" w:type="dxa"/>
            <w:vAlign w:val="center"/>
            <w:vMerge w:val="continue"/>
            <w:textDirection w:val="lrTb"/>
            <w:noWrap w:val="false"/>
          </w:tcPr>
          <w:p>
            <w:pPr>
              <w:jc w:val="center"/>
              <w:widowControl/>
              <w:rPr>
                <w:rFonts w:ascii="宋体" w:hAnsi="宋体" w:eastAsia="宋体" w:cs="宋体"/>
                <w:color w:val="auto"/>
                <w:highlight w:val="none"/>
              </w:rPr>
            </w:pPr>
            <w:r>
              <w:rPr>
                <w:rFonts w:ascii="宋体" w:hAnsi="宋体" w:eastAsia="宋体" w:cs="宋体"/>
                <w:color w:val="auto"/>
                <w:highlight w:val="none"/>
              </w:rPr>
            </w:r>
            <w:r/>
          </w:p>
        </w:tc>
      </w:tr>
      <w:tr>
        <w:trPr/>
        <w:tc>
          <w:tcPr>
            <w:tcMar>
              <w:left w:w="108" w:type="dxa"/>
              <w:top w:w="0" w:type="dxa"/>
              <w:right w:w="108" w:type="dxa"/>
              <w:bottom w:w="0" w:type="dxa"/>
            </w:tcMar>
            <w:tcW w:w="785" w:type="dxa"/>
            <w:vAlign w:val="center"/>
            <w:textDirection w:val="lrTb"/>
            <w:noWrap w:val="false"/>
          </w:tcPr>
          <w:p>
            <w:pPr>
              <w:jc w:val="center"/>
              <w:widowControl/>
              <w:rPr>
                <w:rFonts w:hint="eastAsia" w:ascii="宋体" w:hAnsi="宋体" w:eastAsia="宋体" w:cs="宋体"/>
                <w:color w:val="auto"/>
                <w:highlight w:val="none"/>
                <w:lang w:val="en-US" w:eastAsia="zh-CN"/>
              </w:rPr>
            </w:pPr>
            <w:r>
              <w:rPr>
                <w:color w:val="auto"/>
                <w:sz w:val="21"/>
                <w:szCs w:val="21"/>
                <w:highlight w:val="none"/>
                <w:lang w:bidi="ar"/>
              </w:rPr>
              <w:t xml:space="preserve">3</w:t>
            </w:r>
            <w:r/>
          </w:p>
        </w:tc>
        <w:tc>
          <w:tcPr>
            <w:tcMar>
              <w:left w:w="108" w:type="dxa"/>
              <w:top w:w="0" w:type="dxa"/>
              <w:right w:w="108" w:type="dxa"/>
              <w:bottom w:w="0" w:type="dxa"/>
            </w:tcMar>
            <w:tcW w:w="1846" w:type="dxa"/>
            <w:vAlign w:val="center"/>
            <w:textDirection w:val="lrTb"/>
            <w:noWrap w:val="false"/>
          </w:tcPr>
          <w:p>
            <w:pPr>
              <w:jc w:val="left"/>
              <w:widowControl/>
              <w:rPr>
                <w:rFonts w:hint="eastAsia"/>
                <w:color w:val="auto"/>
                <w:szCs w:val="21"/>
                <w:highlight w:val="none"/>
              </w:rPr>
            </w:pPr>
            <w:r>
              <w:rPr>
                <w:rFonts w:hint="eastAsia" w:ascii="宋体" w:hAnsi="宋体" w:cs="宋体"/>
                <w:color w:val="auto"/>
                <w:sz w:val="21"/>
                <w:szCs w:val="21"/>
                <w:highlight w:val="none"/>
                <w:lang w:bidi="ar"/>
              </w:rPr>
              <w:t xml:space="preserve">终端电脑设备及电话配线系统运维服务</w:t>
            </w:r>
            <w:r/>
          </w:p>
        </w:tc>
        <w:tc>
          <w:tcPr>
            <w:tcMar>
              <w:left w:w="108" w:type="dxa"/>
              <w:top w:w="0" w:type="dxa"/>
              <w:right w:w="108" w:type="dxa"/>
              <w:bottom w:w="0" w:type="dxa"/>
            </w:tcMar>
            <w:tcW w:w="846" w:type="dxa"/>
            <w:vAlign w:val="center"/>
            <w:textDirection w:val="lrTb"/>
            <w:noWrap w:val="false"/>
          </w:tcPr>
          <w:p>
            <w:pPr>
              <w:ind w:firstLine="420"/>
              <w:jc w:val="center"/>
              <w:widowControl/>
              <w:rPr>
                <w:rFonts w:hint="eastAsia" w:ascii="宋体" w:hAnsi="宋体" w:eastAsia="宋体" w:cs="宋体"/>
                <w:color w:val="auto"/>
                <w:highlight w:val="none"/>
                <w:lang w:val="en-US" w:eastAsia="zh-CN"/>
              </w:rPr>
            </w:pPr>
            <w:r>
              <w:rPr>
                <w:rFonts w:hint="eastAsia" w:ascii="宋体" w:hAnsi="宋体" w:cs="宋体"/>
                <w:color w:val="auto"/>
                <w:sz w:val="21"/>
                <w:szCs w:val="21"/>
                <w:highlight w:val="none"/>
                <w:lang w:bidi="ar"/>
              </w:rPr>
              <w:t xml:space="preserve">批</w:t>
            </w:r>
            <w:r/>
          </w:p>
        </w:tc>
        <w:tc>
          <w:tcPr>
            <w:tcMar>
              <w:left w:w="108" w:type="dxa"/>
              <w:top w:w="0" w:type="dxa"/>
              <w:right w:w="108" w:type="dxa"/>
              <w:bottom w:w="0" w:type="dxa"/>
            </w:tcMar>
            <w:tcW w:w="952" w:type="dxa"/>
            <w:vAlign w:val="center"/>
            <w:textDirection w:val="lrTb"/>
            <w:noWrap w:val="false"/>
          </w:tcPr>
          <w:p>
            <w:pPr>
              <w:ind w:firstLine="420"/>
              <w:jc w:val="center"/>
              <w:widowControl/>
              <w:rPr>
                <w:rFonts w:hint="eastAsia" w:ascii="宋体" w:hAnsi="宋体" w:eastAsia="宋体" w:cs="宋体"/>
                <w:color w:val="auto"/>
                <w:highlight w:val="none"/>
                <w:lang w:val="en-US" w:eastAsia="zh-CN"/>
              </w:rPr>
            </w:pPr>
            <w:r>
              <w:rPr>
                <w:rFonts w:hint="eastAsia" w:ascii="宋体" w:hAnsi="宋体" w:cs="宋体"/>
                <w:color w:val="auto"/>
                <w:sz w:val="21"/>
                <w:szCs w:val="21"/>
                <w:highlight w:val="none"/>
                <w:lang w:bidi="ar"/>
              </w:rPr>
              <w:t xml:space="preserve">1</w:t>
            </w:r>
            <w:r/>
          </w:p>
        </w:tc>
        <w:tc>
          <w:tcPr>
            <w:tcMar>
              <w:left w:w="108" w:type="dxa"/>
              <w:top w:w="0" w:type="dxa"/>
              <w:right w:w="108" w:type="dxa"/>
              <w:bottom w:w="0" w:type="dxa"/>
            </w:tcMar>
            <w:tcW w:w="4014"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cs="宋体"/>
                <w:color w:val="auto"/>
                <w:sz w:val="21"/>
                <w:szCs w:val="21"/>
                <w:highlight w:val="none"/>
                <w:lang w:bidi="ar"/>
              </w:rPr>
              <w:t xml:space="preserve">对采购人局</w:t>
            </w:r>
            <w:r>
              <w:rPr>
                <w:rFonts w:hint="eastAsia" w:ascii="宋体" w:hAnsi="宋体" w:cs="宋体"/>
                <w:color w:val="auto"/>
                <w:sz w:val="21"/>
                <w:szCs w:val="21"/>
                <w:highlight w:val="none"/>
                <w:lang w:eastAsia="zh-CN" w:bidi="ar"/>
              </w:rPr>
              <w:t xml:space="preserve">机关科室</w:t>
            </w:r>
            <w:r>
              <w:rPr>
                <w:rFonts w:hint="eastAsia" w:ascii="宋体" w:hAnsi="宋体" w:cs="宋体"/>
                <w:color w:val="auto"/>
                <w:sz w:val="21"/>
                <w:szCs w:val="21"/>
                <w:highlight w:val="none"/>
                <w:lang w:bidi="ar"/>
              </w:rPr>
              <w:t xml:space="preserve">、基层平台(街道和乡镇人社服务经办点)的业务终端电脑提供维保服务。对采购人局机关大楼内的电话配线系统提供跳线及维护服务。</w:t>
            </w:r>
            <w:r/>
          </w:p>
        </w:tc>
        <w:tc>
          <w:tcPr>
            <w:tcMar>
              <w:left w:w="108" w:type="dxa"/>
              <w:top w:w="0" w:type="dxa"/>
              <w:right w:w="108" w:type="dxa"/>
              <w:bottom w:w="0" w:type="dxa"/>
            </w:tcMar>
            <w:tcW w:w="1005" w:type="dxa"/>
            <w:vAlign w:val="center"/>
            <w:vMerge w:val="continue"/>
            <w:textDirection w:val="lrTb"/>
            <w:noWrap w:val="false"/>
          </w:tcPr>
          <w:p>
            <w:pPr>
              <w:jc w:val="center"/>
              <w:widowControl/>
              <w:rPr>
                <w:rFonts w:ascii="宋体" w:hAnsi="宋体" w:eastAsia="宋体" w:cs="宋体"/>
                <w:color w:val="auto"/>
                <w:highlight w:val="none"/>
              </w:rPr>
            </w:pPr>
            <w:r>
              <w:rPr>
                <w:rFonts w:ascii="宋体" w:hAnsi="宋体" w:eastAsia="宋体" w:cs="宋体"/>
                <w:color w:val="auto"/>
                <w:highlight w:val="none"/>
              </w:rPr>
            </w:r>
            <w:r/>
          </w:p>
        </w:tc>
      </w:tr>
    </w:tbl>
    <w:p>
      <w:pPr>
        <w:pStyle w:val="900"/>
        <w:spacing w:before="240" w:after="240"/>
        <w:rPr>
          <w:color w:val="auto"/>
          <w:highlight w:val="none"/>
        </w:rPr>
      </w:pPr>
      <w:r>
        <w:rPr>
          <w:rStyle w:val="899"/>
          <w:rFonts w:hint="eastAsia"/>
          <w:color w:val="auto"/>
          <w:highlight w:val="none"/>
        </w:rPr>
        <w:t xml:space="preserve">四</w:t>
      </w:r>
      <w:r>
        <w:rPr>
          <w:rStyle w:val="899"/>
          <w:color w:val="auto"/>
          <w:highlight w:val="none"/>
        </w:rPr>
        <w:t xml:space="preserve">.</w:t>
      </w:r>
      <w:r>
        <w:rPr>
          <w:rStyle w:val="899"/>
          <w:rFonts w:hint="eastAsia"/>
          <w:color w:val="auto"/>
          <w:highlight w:val="none"/>
        </w:rPr>
        <w:t xml:space="preserve">服务内容</w:t>
      </w:r>
      <w:r>
        <w:rPr>
          <w:rStyle w:val="899"/>
          <w:rFonts w:hint="eastAsia" w:eastAsia="宋体"/>
          <w:color w:val="auto"/>
          <w:highlight w:val="none"/>
          <w:lang w:eastAsia="zh-CN"/>
        </w:rPr>
        <w:t xml:space="preserve">与</w:t>
      </w:r>
      <w:r>
        <w:rPr>
          <w:rStyle w:val="899"/>
          <w:rFonts w:hint="eastAsia"/>
          <w:color w:val="auto"/>
          <w:highlight w:val="none"/>
        </w:rPr>
        <w:t xml:space="preserve">要求</w:t>
      </w:r>
      <w:bookmarkEnd w:id="82"/>
      <w:r/>
    </w:p>
    <w:p>
      <w:pPr>
        <w:jc w:val="left"/>
        <w:spacing w:line="440" w:lineRule="exact"/>
        <w:rPr>
          <w:rFonts w:ascii="宋体" w:hAnsi="宋体"/>
          <w:b/>
          <w:color w:val="auto"/>
          <w:sz w:val="24"/>
          <w:highlight w:val="none"/>
        </w:rPr>
      </w:pPr>
      <w:r>
        <w:rPr>
          <w:rFonts w:hint="eastAsia" w:ascii="宋体" w:hAnsi="宋体"/>
          <w:b/>
          <w:color w:val="auto"/>
          <w:sz w:val="24"/>
          <w:highlight w:val="none"/>
          <w:lang w:val="en-US" w:eastAsia="zh-CN"/>
        </w:rPr>
        <w:t xml:space="preserve">4</w:t>
      </w:r>
      <w:r>
        <w:rPr>
          <w:rFonts w:hint="eastAsia" w:ascii="宋体" w:hAnsi="宋体"/>
          <w:b/>
          <w:color w:val="auto"/>
          <w:sz w:val="24"/>
          <w:highlight w:val="none"/>
        </w:rPr>
        <w:t xml:space="preserve">.1核心机房</w:t>
      </w:r>
      <w:r>
        <w:rPr>
          <w:rFonts w:ascii="宋体" w:hAnsi="宋体"/>
          <w:b/>
          <w:color w:val="auto"/>
          <w:sz w:val="24"/>
          <w:highlight w:val="none"/>
        </w:rPr>
        <w:t xml:space="preserve">软硬件维保服务</w:t>
      </w:r>
      <w:r/>
    </w:p>
    <w:p>
      <w:pPr>
        <w:jc w:val="left"/>
        <w:spacing w:line="440" w:lineRule="exact"/>
        <w:rPr>
          <w:rFonts w:ascii="宋体" w:hAnsi="宋体"/>
          <w:b/>
          <w:color w:val="auto"/>
          <w:sz w:val="24"/>
          <w:highlight w:val="none"/>
        </w:rPr>
      </w:pPr>
      <w:r>
        <w:rPr>
          <w:rFonts w:hint="eastAsia" w:ascii="宋体" w:hAnsi="宋体"/>
          <w:b/>
          <w:color w:val="auto"/>
          <w:sz w:val="24"/>
          <w:highlight w:val="none"/>
        </w:rPr>
        <w:t xml:space="preserve">（一）服务内容</w:t>
      </w:r>
      <w:r/>
    </w:p>
    <w:p>
      <w:pPr>
        <w:jc w:val="left"/>
        <w:spacing w:line="440" w:lineRule="exact"/>
        <w:rPr>
          <w:rFonts w:ascii="宋体" w:hAnsi="宋体"/>
          <w:color w:val="auto"/>
          <w:sz w:val="24"/>
          <w:highlight w:val="none"/>
        </w:rPr>
      </w:pPr>
      <w:r>
        <w:rPr>
          <w:rFonts w:hint="eastAsia" w:ascii="宋体" w:hAnsi="宋体"/>
          <w:color w:val="auto"/>
          <w:sz w:val="24"/>
          <w:highlight w:val="none"/>
        </w:rPr>
        <w:t xml:space="preserve">1、系统日常巡检</w:t>
      </w:r>
      <w:r/>
    </w:p>
    <w:p>
      <w:pPr>
        <w:numPr>
          <w:ilvl w:val="0"/>
          <w:numId w:val="5"/>
        </w:numPr>
        <w:jc w:val="left"/>
        <w:spacing w:line="440" w:lineRule="exact"/>
        <w:rPr>
          <w:rFonts w:ascii="宋体" w:hAnsi="宋体"/>
          <w:color w:val="auto"/>
          <w:sz w:val="24"/>
          <w:highlight w:val="none"/>
        </w:rPr>
      </w:pPr>
      <w:r>
        <w:rPr>
          <w:rFonts w:hint="eastAsia" w:ascii="宋体" w:hAnsi="宋体"/>
          <w:color w:val="auto"/>
          <w:sz w:val="24"/>
          <w:highlight w:val="none"/>
        </w:rPr>
        <w:t xml:space="preserve">巡检中发现问题时，及时上报处理；</w:t>
      </w:r>
      <w:r/>
    </w:p>
    <w:p>
      <w:pPr>
        <w:numPr>
          <w:ilvl w:val="0"/>
          <w:numId w:val="5"/>
        </w:numPr>
        <w:jc w:val="left"/>
        <w:spacing w:line="440" w:lineRule="exact"/>
        <w:rPr>
          <w:rFonts w:hint="eastAsia" w:ascii="宋体" w:hAnsi="宋体"/>
          <w:color w:val="auto"/>
          <w:sz w:val="24"/>
          <w:highlight w:val="none"/>
        </w:rPr>
      </w:pPr>
      <w:r>
        <w:rPr>
          <w:rFonts w:hint="eastAsia" w:ascii="宋体" w:hAnsi="宋体"/>
          <w:color w:val="auto"/>
          <w:sz w:val="24"/>
          <w:highlight w:val="none"/>
        </w:rPr>
        <w:t xml:space="preserve">要求</w:t>
      </w:r>
      <w:r>
        <w:rPr>
          <w:rFonts w:ascii="SimSun" w:hAnsi="SimSun" w:eastAsia="SimSun" w:cs="SimSun"/>
          <w:color w:val="000000"/>
          <w:sz w:val="24"/>
        </w:rPr>
        <w:t xml:space="preserve">一名专业网络与安全服务工程师和一名专业智能化和终端服务工程师</w:t>
      </w:r>
      <w:r>
        <w:rPr>
          <w:rFonts w:hint="eastAsia" w:ascii="宋体" w:hAnsi="宋体"/>
          <w:color w:val="auto"/>
          <w:sz w:val="24"/>
          <w:highlight w:val="none"/>
        </w:rPr>
        <w:t xml:space="preserve">负责系统巡检和日常操作事务处理；</w:t>
      </w:r>
      <w:r/>
    </w:p>
    <w:p>
      <w:pPr>
        <w:numPr>
          <w:ilvl w:val="0"/>
          <w:numId w:val="5"/>
        </w:numPr>
        <w:jc w:val="left"/>
        <w:spacing w:line="440" w:lineRule="exact"/>
        <w:rPr>
          <w:rFonts w:ascii="宋体" w:hAnsi="宋体"/>
          <w:color w:val="auto"/>
          <w:sz w:val="24"/>
          <w:highlight w:val="none"/>
        </w:rPr>
      </w:pPr>
      <w:r>
        <w:rPr>
          <w:rFonts w:hint="eastAsia" w:ascii="宋体" w:hAnsi="宋体"/>
          <w:color w:val="auto"/>
          <w:sz w:val="24"/>
          <w:highlight w:val="none"/>
        </w:rPr>
        <w:t xml:space="preserve">工程师每周对“维保设备明细”中的设备进行巡检，及时发现故障和排除故障，并做好日常巡检及故障隐患处置记录。</w:t>
      </w:r>
      <w:r/>
    </w:p>
    <w:p>
      <w:pPr>
        <w:jc w:val="left"/>
        <w:spacing w:line="440" w:lineRule="exact"/>
        <w:rPr>
          <w:rFonts w:ascii="宋体" w:hAnsi="宋体"/>
          <w:color w:val="auto"/>
          <w:sz w:val="24"/>
          <w:highlight w:val="none"/>
        </w:rPr>
      </w:pPr>
      <w:r>
        <w:rPr>
          <w:rFonts w:hint="eastAsia" w:ascii="宋体" w:hAnsi="宋体"/>
          <w:color w:val="auto"/>
          <w:sz w:val="24"/>
          <w:highlight w:val="none"/>
        </w:rPr>
        <w:t xml:space="preserve">    巡检内容至少包括：</w:t>
      </w:r>
      <w:r/>
    </w:p>
    <w:p>
      <w:pPr>
        <w:numPr>
          <w:ilvl w:val="0"/>
          <w:numId w:val="5"/>
        </w:numPr>
        <w:jc w:val="left"/>
        <w:spacing w:line="440" w:lineRule="exact"/>
        <w:rPr>
          <w:rFonts w:ascii="宋体" w:hAnsi="宋体"/>
          <w:color w:val="auto"/>
          <w:sz w:val="24"/>
          <w:highlight w:val="none"/>
        </w:rPr>
      </w:pPr>
      <w:r>
        <w:rPr>
          <w:rFonts w:hint="eastAsia" w:ascii="宋体" w:hAnsi="宋体"/>
          <w:color w:val="auto"/>
          <w:sz w:val="24"/>
          <w:highlight w:val="none"/>
        </w:rPr>
        <w:t xml:space="preserve">网络和安全设备是否正常可用，是否有指示硬件故障报警；</w:t>
      </w:r>
      <w:r/>
    </w:p>
    <w:p>
      <w:pPr>
        <w:numPr>
          <w:ilvl w:val="0"/>
          <w:numId w:val="5"/>
        </w:numPr>
        <w:jc w:val="left"/>
        <w:spacing w:line="440" w:lineRule="exact"/>
        <w:rPr>
          <w:rFonts w:ascii="宋体" w:hAnsi="宋体"/>
          <w:color w:val="auto"/>
          <w:sz w:val="24"/>
          <w:highlight w:val="none"/>
        </w:rPr>
      </w:pPr>
      <w:r>
        <w:rPr>
          <w:rFonts w:hint="eastAsia" w:ascii="宋体" w:hAnsi="宋体"/>
          <w:color w:val="auto"/>
          <w:sz w:val="24"/>
          <w:highlight w:val="none"/>
        </w:rPr>
        <w:t xml:space="preserve">网络和安全设备设备自身系统软件运行是否正常，是否需要升级；</w:t>
      </w:r>
      <w:r/>
    </w:p>
    <w:p>
      <w:pPr>
        <w:numPr>
          <w:ilvl w:val="0"/>
          <w:numId w:val="5"/>
        </w:numPr>
        <w:jc w:val="left"/>
        <w:spacing w:line="440" w:lineRule="exact"/>
        <w:rPr>
          <w:rFonts w:ascii="宋体" w:hAnsi="宋体"/>
          <w:color w:val="auto"/>
          <w:sz w:val="24"/>
          <w:highlight w:val="none"/>
        </w:rPr>
      </w:pPr>
      <w:r>
        <w:rPr>
          <w:rFonts w:hint="eastAsia" w:ascii="宋体" w:hAnsi="宋体"/>
          <w:color w:val="auto"/>
          <w:sz w:val="24"/>
          <w:highlight w:val="none"/>
        </w:rPr>
        <w:t xml:space="preserve">所有网络和安全设备之间访问和运行状况是否正常；</w:t>
      </w:r>
      <w:r/>
    </w:p>
    <w:p>
      <w:pPr>
        <w:numPr>
          <w:ilvl w:val="0"/>
          <w:numId w:val="5"/>
        </w:numPr>
        <w:jc w:val="left"/>
        <w:spacing w:line="440" w:lineRule="exact"/>
        <w:rPr>
          <w:rFonts w:ascii="宋体" w:hAnsi="宋体"/>
          <w:color w:val="auto"/>
          <w:sz w:val="24"/>
          <w:highlight w:val="none"/>
        </w:rPr>
      </w:pPr>
      <w:r>
        <w:rPr>
          <w:rFonts w:hint="eastAsia" w:ascii="宋体" w:hAnsi="宋体"/>
          <w:color w:val="auto"/>
          <w:sz w:val="24"/>
          <w:highlight w:val="none"/>
        </w:rPr>
        <w:t xml:space="preserve">采购人提出的其他日常巡检要求；</w:t>
      </w:r>
      <w:r/>
    </w:p>
    <w:p>
      <w:pPr>
        <w:numPr>
          <w:ilvl w:val="0"/>
          <w:numId w:val="5"/>
        </w:numPr>
        <w:jc w:val="left"/>
        <w:spacing w:line="440" w:lineRule="exact"/>
        <w:rPr>
          <w:rFonts w:ascii="宋体" w:hAnsi="宋体"/>
          <w:color w:val="auto"/>
          <w:sz w:val="24"/>
          <w:highlight w:val="none"/>
        </w:rPr>
      </w:pPr>
      <w:r>
        <w:rPr>
          <w:rFonts w:hint="eastAsia" w:ascii="宋体" w:hAnsi="宋体"/>
          <w:color w:val="auto"/>
          <w:sz w:val="24"/>
          <w:highlight w:val="none"/>
        </w:rPr>
        <w:t xml:space="preserve">巡检中发现问题时，及时上报处理。</w:t>
      </w:r>
      <w:r/>
    </w:p>
    <w:p>
      <w:pPr>
        <w:jc w:val="left"/>
        <w:spacing w:line="440" w:lineRule="exact"/>
        <w:rPr>
          <w:rFonts w:ascii="宋体" w:hAnsi="宋体"/>
          <w:b/>
          <w:color w:val="auto"/>
          <w:sz w:val="24"/>
          <w:highlight w:val="none"/>
        </w:rPr>
      </w:pPr>
      <w:r>
        <w:rPr>
          <w:rFonts w:hint="eastAsia" w:ascii="宋体" w:hAnsi="宋体"/>
          <w:b/>
          <w:color w:val="auto"/>
          <w:sz w:val="24"/>
          <w:highlight w:val="none"/>
        </w:rPr>
        <w:t xml:space="preserve">2、每月设备养护</w:t>
      </w:r>
      <w:r/>
    </w:p>
    <w:p>
      <w:pPr>
        <w:jc w:val="left"/>
        <w:spacing w:line="440" w:lineRule="exact"/>
        <w:rPr>
          <w:rFonts w:ascii="宋体" w:hAnsi="宋体"/>
          <w:color w:val="auto"/>
          <w:sz w:val="24"/>
          <w:highlight w:val="none"/>
        </w:rPr>
      </w:pPr>
      <w:r>
        <w:rPr>
          <w:rFonts w:hint="eastAsia" w:ascii="宋体" w:hAnsi="宋体"/>
          <w:color w:val="auto"/>
          <w:sz w:val="24"/>
          <w:highlight w:val="none"/>
        </w:rPr>
        <w:t xml:space="preserve">供应商应每月派出专业工程师对“四、（一）核心机房</w:t>
      </w:r>
      <w:r>
        <w:rPr>
          <w:rFonts w:ascii="宋体" w:hAnsi="宋体"/>
          <w:color w:val="auto"/>
          <w:sz w:val="24"/>
          <w:highlight w:val="none"/>
        </w:rPr>
        <w:t xml:space="preserve">软硬件</w:t>
      </w:r>
      <w:r>
        <w:rPr>
          <w:rFonts w:hint="eastAsia" w:ascii="宋体" w:hAnsi="宋体"/>
          <w:color w:val="auto"/>
          <w:sz w:val="24"/>
          <w:highlight w:val="none"/>
        </w:rPr>
        <w:t xml:space="preserve">设备</w:t>
      </w:r>
      <w:r>
        <w:rPr>
          <w:rFonts w:ascii="宋体" w:hAnsi="宋体"/>
          <w:color w:val="auto"/>
          <w:sz w:val="24"/>
          <w:highlight w:val="none"/>
        </w:rPr>
        <w:t xml:space="preserve">维保</w:t>
      </w:r>
      <w:r>
        <w:rPr>
          <w:rFonts w:hint="eastAsia" w:ascii="宋体" w:hAnsi="宋体"/>
          <w:color w:val="auto"/>
          <w:sz w:val="24"/>
          <w:highlight w:val="none"/>
        </w:rPr>
        <w:t xml:space="preserve">清单”中的设备运行状况及故障报警情况进行一次全面检查，具体内容及要求为：</w:t>
      </w:r>
      <w:r/>
    </w:p>
    <w:p>
      <w:pPr>
        <w:jc w:val="left"/>
        <w:spacing w:line="440" w:lineRule="exact"/>
        <w:rPr>
          <w:rFonts w:ascii="宋体" w:hAnsi="宋体"/>
          <w:color w:val="auto"/>
          <w:sz w:val="24"/>
          <w:highlight w:val="none"/>
        </w:rPr>
      </w:pPr>
      <w:r>
        <w:rPr>
          <w:rFonts w:hint="eastAsia" w:ascii="宋体" w:hAnsi="宋体"/>
          <w:color w:val="auto"/>
          <w:sz w:val="24"/>
          <w:highlight w:val="none"/>
        </w:rPr>
        <w:t xml:space="preserve">（1）采购人机房</w:t>
      </w:r>
      <w:r/>
    </w:p>
    <w:p>
      <w:pPr>
        <w:numPr>
          <w:ilvl w:val="0"/>
          <w:numId w:val="5"/>
        </w:numPr>
        <w:jc w:val="left"/>
        <w:spacing w:line="440" w:lineRule="exact"/>
        <w:rPr>
          <w:rFonts w:ascii="宋体" w:hAnsi="宋体"/>
          <w:color w:val="auto"/>
          <w:sz w:val="24"/>
          <w:highlight w:val="none"/>
        </w:rPr>
      </w:pPr>
      <w:r>
        <w:rPr>
          <w:rFonts w:hint="eastAsia" w:ascii="宋体" w:hAnsi="宋体"/>
          <w:color w:val="auto"/>
          <w:sz w:val="24"/>
          <w:highlight w:val="none"/>
        </w:rPr>
        <w:t xml:space="preserve">清洁网络和安全设备及机柜的灰尘；</w:t>
      </w:r>
      <w:r/>
    </w:p>
    <w:p>
      <w:pPr>
        <w:numPr>
          <w:ilvl w:val="0"/>
          <w:numId w:val="5"/>
        </w:numPr>
        <w:jc w:val="left"/>
        <w:spacing w:line="440" w:lineRule="exact"/>
        <w:rPr>
          <w:rFonts w:ascii="宋体" w:hAnsi="宋体"/>
          <w:color w:val="auto"/>
          <w:sz w:val="24"/>
          <w:highlight w:val="none"/>
        </w:rPr>
      </w:pPr>
      <w:r>
        <w:rPr>
          <w:rFonts w:hint="eastAsia" w:ascii="宋体" w:hAnsi="宋体"/>
          <w:color w:val="auto"/>
          <w:sz w:val="24"/>
          <w:highlight w:val="none"/>
        </w:rPr>
        <w:t xml:space="preserve">检查、整理各类线缆；</w:t>
      </w:r>
      <w:r/>
    </w:p>
    <w:p>
      <w:pPr>
        <w:numPr>
          <w:ilvl w:val="0"/>
          <w:numId w:val="5"/>
        </w:numPr>
        <w:jc w:val="left"/>
        <w:spacing w:line="440" w:lineRule="exact"/>
        <w:rPr>
          <w:rFonts w:ascii="宋体" w:hAnsi="宋体"/>
          <w:color w:val="auto"/>
          <w:sz w:val="24"/>
          <w:highlight w:val="none"/>
        </w:rPr>
      </w:pPr>
      <w:r>
        <w:rPr>
          <w:rFonts w:hint="eastAsia" w:ascii="宋体" w:hAnsi="宋体"/>
          <w:color w:val="auto"/>
          <w:sz w:val="24"/>
          <w:highlight w:val="none"/>
        </w:rPr>
        <w:t xml:space="preserve">检查、整理、更新各类标签；</w:t>
      </w:r>
      <w:r/>
    </w:p>
    <w:p>
      <w:pPr>
        <w:numPr>
          <w:ilvl w:val="0"/>
          <w:numId w:val="5"/>
        </w:numPr>
        <w:jc w:val="left"/>
        <w:spacing w:line="440" w:lineRule="exact"/>
        <w:rPr>
          <w:rFonts w:ascii="宋体" w:hAnsi="宋体"/>
          <w:color w:val="auto"/>
          <w:sz w:val="24"/>
          <w:highlight w:val="none"/>
        </w:rPr>
      </w:pPr>
      <w:r>
        <w:rPr>
          <w:rFonts w:hint="eastAsia" w:ascii="宋体" w:hAnsi="宋体"/>
          <w:color w:val="auto"/>
          <w:sz w:val="24"/>
          <w:highlight w:val="none"/>
        </w:rPr>
        <w:t xml:space="preserve">检查必备工具、安装光盘是否完整。</w:t>
      </w:r>
      <w:r/>
    </w:p>
    <w:p>
      <w:pPr>
        <w:jc w:val="left"/>
        <w:spacing w:line="440" w:lineRule="exact"/>
        <w:rPr>
          <w:rFonts w:ascii="宋体" w:hAnsi="宋体"/>
          <w:color w:val="auto"/>
          <w:sz w:val="24"/>
          <w:highlight w:val="none"/>
        </w:rPr>
      </w:pPr>
      <w:r>
        <w:rPr>
          <w:rFonts w:hint="eastAsia" w:ascii="宋体" w:hAnsi="宋体"/>
          <w:color w:val="auto"/>
          <w:sz w:val="24"/>
          <w:highlight w:val="none"/>
        </w:rPr>
        <w:t xml:space="preserve">（2）网络和安全设备情况</w:t>
      </w:r>
      <w:r/>
    </w:p>
    <w:p>
      <w:pPr>
        <w:numPr>
          <w:ilvl w:val="0"/>
          <w:numId w:val="5"/>
        </w:numPr>
        <w:jc w:val="left"/>
        <w:spacing w:line="440" w:lineRule="exact"/>
        <w:rPr>
          <w:rFonts w:ascii="宋体" w:hAnsi="宋体"/>
          <w:color w:val="auto"/>
          <w:sz w:val="24"/>
          <w:highlight w:val="none"/>
        </w:rPr>
      </w:pPr>
      <w:r>
        <w:rPr>
          <w:rFonts w:hint="eastAsia" w:ascii="宋体" w:hAnsi="宋体"/>
          <w:color w:val="auto"/>
          <w:sz w:val="24"/>
          <w:highlight w:val="none"/>
        </w:rPr>
        <w:t xml:space="preserve">检查网络和安全设备是否正常运行，是否有指示硬件故障报警；</w:t>
      </w:r>
      <w:r/>
    </w:p>
    <w:p>
      <w:pPr>
        <w:numPr>
          <w:ilvl w:val="0"/>
          <w:numId w:val="5"/>
        </w:numPr>
        <w:jc w:val="left"/>
        <w:spacing w:line="440" w:lineRule="exact"/>
        <w:rPr>
          <w:rFonts w:ascii="宋体" w:hAnsi="宋体"/>
          <w:color w:val="auto"/>
          <w:sz w:val="24"/>
          <w:highlight w:val="none"/>
        </w:rPr>
      </w:pPr>
      <w:r>
        <w:rPr>
          <w:rFonts w:hint="eastAsia" w:ascii="宋体" w:hAnsi="宋体"/>
          <w:color w:val="auto"/>
          <w:sz w:val="24"/>
          <w:highlight w:val="none"/>
        </w:rPr>
        <w:t xml:space="preserve">根据运行网络和安全设备参数，分析判断网络和安全设备可能存在的故障隐患及原因，第一时间向采购人提出修复、改善建议；</w:t>
      </w:r>
      <w:r/>
    </w:p>
    <w:p>
      <w:pPr>
        <w:jc w:val="left"/>
        <w:spacing w:line="440" w:lineRule="exact"/>
        <w:rPr>
          <w:rFonts w:ascii="宋体" w:hAnsi="宋体"/>
          <w:color w:val="auto"/>
          <w:sz w:val="24"/>
          <w:highlight w:val="none"/>
        </w:rPr>
      </w:pPr>
      <w:r>
        <w:rPr>
          <w:rFonts w:hint="eastAsia" w:ascii="宋体" w:hAnsi="宋体"/>
          <w:color w:val="auto"/>
          <w:sz w:val="24"/>
          <w:highlight w:val="none"/>
        </w:rPr>
        <w:t xml:space="preserve">（3）网络和安全设备配置备份</w:t>
      </w:r>
      <w:r/>
    </w:p>
    <w:p>
      <w:pPr>
        <w:jc w:val="left"/>
        <w:spacing w:line="440" w:lineRule="exact"/>
        <w:rPr>
          <w:rFonts w:ascii="宋体" w:hAnsi="宋体"/>
          <w:color w:val="auto"/>
          <w:sz w:val="24"/>
          <w:highlight w:val="none"/>
        </w:rPr>
      </w:pPr>
      <w:r>
        <w:rPr>
          <w:rFonts w:hint="eastAsia" w:ascii="宋体" w:hAnsi="宋体"/>
          <w:color w:val="auto"/>
          <w:sz w:val="24"/>
          <w:highlight w:val="none"/>
        </w:rPr>
        <w:t xml:space="preserve">对网络和安全设备配置文件等进行备份，并以光盘刻录的形式提交采购人，包括：</w:t>
      </w:r>
      <w:r/>
    </w:p>
    <w:p>
      <w:pPr>
        <w:numPr>
          <w:ilvl w:val="0"/>
          <w:numId w:val="5"/>
        </w:numPr>
        <w:jc w:val="left"/>
        <w:spacing w:line="440" w:lineRule="exact"/>
        <w:rPr>
          <w:rFonts w:ascii="宋体" w:hAnsi="宋体"/>
          <w:color w:val="auto"/>
          <w:sz w:val="24"/>
          <w:highlight w:val="none"/>
        </w:rPr>
      </w:pPr>
      <w:r>
        <w:rPr>
          <w:rFonts w:hint="eastAsia" w:ascii="宋体" w:hAnsi="宋体"/>
          <w:color w:val="auto"/>
          <w:sz w:val="24"/>
          <w:highlight w:val="none"/>
        </w:rPr>
        <w:t xml:space="preserve">核心交换机的配置文件；</w:t>
      </w:r>
      <w:r/>
    </w:p>
    <w:p>
      <w:pPr>
        <w:numPr>
          <w:ilvl w:val="0"/>
          <w:numId w:val="5"/>
        </w:numPr>
        <w:jc w:val="left"/>
        <w:spacing w:line="440" w:lineRule="exact"/>
        <w:rPr>
          <w:rFonts w:ascii="宋体" w:hAnsi="宋体"/>
          <w:color w:val="auto"/>
          <w:sz w:val="24"/>
          <w:highlight w:val="none"/>
        </w:rPr>
      </w:pPr>
      <w:r>
        <w:rPr>
          <w:rFonts w:hint="eastAsia" w:ascii="宋体" w:hAnsi="宋体"/>
          <w:color w:val="auto"/>
          <w:sz w:val="24"/>
          <w:highlight w:val="none"/>
        </w:rPr>
        <w:t xml:space="preserve">核心路由器的配置文件；</w:t>
      </w:r>
      <w:r/>
    </w:p>
    <w:p>
      <w:pPr>
        <w:numPr>
          <w:ilvl w:val="0"/>
          <w:numId w:val="5"/>
        </w:numPr>
        <w:jc w:val="left"/>
        <w:spacing w:line="440" w:lineRule="exact"/>
        <w:rPr>
          <w:rFonts w:ascii="宋体" w:hAnsi="宋体"/>
          <w:color w:val="auto"/>
          <w:sz w:val="24"/>
          <w:highlight w:val="none"/>
        </w:rPr>
      </w:pPr>
      <w:r>
        <w:rPr>
          <w:rFonts w:hint="eastAsia" w:ascii="宋体" w:hAnsi="宋体"/>
          <w:color w:val="auto"/>
          <w:sz w:val="24"/>
          <w:highlight w:val="none"/>
        </w:rPr>
        <w:t xml:space="preserve">汇聚交换机的配置文件；</w:t>
      </w:r>
      <w:r/>
    </w:p>
    <w:p>
      <w:pPr>
        <w:numPr>
          <w:ilvl w:val="0"/>
          <w:numId w:val="5"/>
        </w:numPr>
        <w:jc w:val="left"/>
        <w:spacing w:line="440" w:lineRule="exact"/>
        <w:rPr>
          <w:rFonts w:ascii="宋体" w:hAnsi="宋体"/>
          <w:color w:val="auto"/>
          <w:sz w:val="24"/>
          <w:highlight w:val="none"/>
        </w:rPr>
      </w:pPr>
      <w:r>
        <w:rPr>
          <w:rFonts w:hint="eastAsia" w:ascii="宋体" w:hAnsi="宋体"/>
          <w:color w:val="auto"/>
          <w:sz w:val="24"/>
          <w:highlight w:val="none"/>
        </w:rPr>
        <w:t xml:space="preserve">负载均衡器的配置文件；</w:t>
      </w:r>
      <w:r/>
    </w:p>
    <w:p>
      <w:pPr>
        <w:numPr>
          <w:ilvl w:val="0"/>
          <w:numId w:val="5"/>
        </w:numPr>
        <w:jc w:val="left"/>
        <w:spacing w:line="440" w:lineRule="exact"/>
        <w:rPr>
          <w:rFonts w:ascii="宋体" w:hAnsi="宋体"/>
          <w:color w:val="auto"/>
          <w:sz w:val="24"/>
          <w:highlight w:val="none"/>
        </w:rPr>
      </w:pPr>
      <w:r>
        <w:rPr>
          <w:rFonts w:hint="eastAsia" w:ascii="宋体" w:hAnsi="宋体"/>
          <w:color w:val="auto"/>
          <w:sz w:val="24"/>
          <w:highlight w:val="none"/>
        </w:rPr>
        <w:t xml:space="preserve">防火墙的配置文件；</w:t>
      </w:r>
      <w:r/>
    </w:p>
    <w:p>
      <w:pPr>
        <w:numPr>
          <w:ilvl w:val="0"/>
          <w:numId w:val="5"/>
        </w:numPr>
        <w:jc w:val="left"/>
        <w:spacing w:line="440" w:lineRule="exact"/>
        <w:rPr>
          <w:rFonts w:ascii="宋体" w:hAnsi="宋体"/>
          <w:color w:val="auto"/>
          <w:sz w:val="24"/>
          <w:highlight w:val="none"/>
        </w:rPr>
      </w:pPr>
      <w:r>
        <w:rPr>
          <w:rFonts w:hint="eastAsia" w:ascii="宋体" w:hAnsi="宋体"/>
          <w:color w:val="auto"/>
          <w:sz w:val="24"/>
          <w:highlight w:val="none"/>
        </w:rPr>
        <w:t xml:space="preserve">上网行为管理配置文件；</w:t>
      </w:r>
      <w:r/>
    </w:p>
    <w:p>
      <w:pPr>
        <w:numPr>
          <w:ilvl w:val="0"/>
          <w:numId w:val="5"/>
        </w:numPr>
        <w:jc w:val="left"/>
        <w:spacing w:line="440" w:lineRule="exact"/>
        <w:rPr>
          <w:rFonts w:ascii="宋体" w:hAnsi="宋体"/>
          <w:color w:val="auto"/>
          <w:sz w:val="24"/>
          <w:highlight w:val="none"/>
        </w:rPr>
      </w:pPr>
      <w:r>
        <w:rPr>
          <w:rFonts w:hint="eastAsia" w:ascii="宋体" w:hAnsi="宋体"/>
          <w:color w:val="auto"/>
          <w:sz w:val="24"/>
          <w:highlight w:val="none"/>
        </w:rPr>
        <w:t xml:space="preserve">安全隔离网闸的配置文件；</w:t>
      </w:r>
      <w:r/>
    </w:p>
    <w:p>
      <w:pPr>
        <w:numPr>
          <w:ilvl w:val="0"/>
          <w:numId w:val="5"/>
        </w:numPr>
        <w:jc w:val="left"/>
        <w:spacing w:line="440" w:lineRule="exact"/>
        <w:rPr>
          <w:rFonts w:ascii="宋体" w:hAnsi="宋体"/>
          <w:color w:val="auto"/>
          <w:sz w:val="24"/>
          <w:highlight w:val="none"/>
        </w:rPr>
      </w:pPr>
      <w:r>
        <w:rPr>
          <w:rFonts w:hint="eastAsia" w:ascii="宋体" w:hAnsi="宋体"/>
          <w:color w:val="auto"/>
          <w:sz w:val="24"/>
          <w:highlight w:val="none"/>
        </w:rPr>
        <w:t xml:space="preserve">运维审计设备的配置文件；</w:t>
      </w:r>
      <w:r/>
    </w:p>
    <w:p>
      <w:pPr>
        <w:numPr>
          <w:ilvl w:val="0"/>
          <w:numId w:val="5"/>
        </w:numPr>
        <w:jc w:val="left"/>
        <w:spacing w:line="440" w:lineRule="exact"/>
        <w:rPr>
          <w:rFonts w:ascii="宋体" w:hAnsi="宋体"/>
          <w:color w:val="auto"/>
          <w:sz w:val="24"/>
          <w:highlight w:val="none"/>
        </w:rPr>
      </w:pPr>
      <w:r>
        <w:rPr>
          <w:rFonts w:hint="eastAsia" w:ascii="宋体" w:hAnsi="宋体"/>
          <w:color w:val="auto"/>
          <w:sz w:val="24"/>
          <w:highlight w:val="none"/>
        </w:rPr>
        <w:t xml:space="preserve">其它需要备份的数据。</w:t>
      </w:r>
      <w:r/>
    </w:p>
    <w:p>
      <w:pPr>
        <w:jc w:val="left"/>
        <w:spacing w:line="440" w:lineRule="exact"/>
        <w:rPr>
          <w:rFonts w:ascii="宋体" w:hAnsi="宋体"/>
          <w:b/>
          <w:color w:val="auto"/>
          <w:sz w:val="24"/>
          <w:highlight w:val="none"/>
        </w:rPr>
      </w:pPr>
      <w:r>
        <w:rPr>
          <w:rFonts w:hint="eastAsia" w:ascii="宋体" w:hAnsi="宋体"/>
          <w:b/>
          <w:color w:val="auto"/>
          <w:sz w:val="24"/>
          <w:highlight w:val="none"/>
        </w:rPr>
        <w:t xml:space="preserve">3、网络和安全故障处理及架构调整</w:t>
      </w:r>
      <w:r/>
    </w:p>
    <w:p>
      <w:pPr>
        <w:ind w:firstLine="480"/>
        <w:jc w:val="left"/>
        <w:spacing w:line="440" w:lineRule="exact"/>
        <w:rPr>
          <w:rFonts w:ascii="宋体" w:hAnsi="宋体"/>
          <w:color w:val="auto"/>
          <w:sz w:val="24"/>
          <w:highlight w:val="none"/>
        </w:rPr>
      </w:pPr>
      <w:r>
        <w:rPr>
          <w:rFonts w:hint="eastAsia" w:ascii="宋体" w:hAnsi="宋体"/>
          <w:color w:val="auto"/>
          <w:sz w:val="24"/>
          <w:highlight w:val="none"/>
        </w:rPr>
        <w:t xml:space="preserve">当出现硬件系统问题或需要调整硬件系统结构时，需及时安排经验丰富的工程师制定解决方案，并协助采购人实施直至问题得到解决。</w:t>
      </w:r>
      <w:r/>
    </w:p>
    <w:p>
      <w:pPr>
        <w:jc w:val="left"/>
        <w:spacing w:line="440" w:lineRule="exact"/>
        <w:rPr>
          <w:rFonts w:ascii="宋体" w:hAnsi="宋体"/>
          <w:b/>
          <w:color w:val="auto"/>
          <w:sz w:val="24"/>
          <w:highlight w:val="none"/>
        </w:rPr>
      </w:pPr>
      <w:r>
        <w:rPr>
          <w:rFonts w:hint="eastAsia" w:ascii="宋体" w:hAnsi="宋体"/>
          <w:b/>
          <w:color w:val="auto"/>
          <w:sz w:val="24"/>
          <w:highlight w:val="none"/>
        </w:rPr>
        <w:t xml:space="preserve">4、故障抢修</w:t>
      </w:r>
      <w:r/>
    </w:p>
    <w:p>
      <w:pPr>
        <w:ind w:firstLine="480"/>
        <w:jc w:val="left"/>
        <w:spacing w:line="440" w:lineRule="exact"/>
        <w:rPr>
          <w:rFonts w:ascii="宋体" w:hAnsi="宋体"/>
          <w:color w:val="auto"/>
          <w:sz w:val="24"/>
          <w:highlight w:val="none"/>
        </w:rPr>
      </w:pPr>
      <w:r>
        <w:rPr>
          <w:rFonts w:hint="eastAsia" w:ascii="宋体" w:hAnsi="宋体"/>
          <w:color w:val="auto"/>
          <w:sz w:val="24"/>
          <w:highlight w:val="none"/>
        </w:rPr>
        <w:t xml:space="preserve">要求做到全天候7*24小时的技术服务，对于故障抢修涉及的响应时间和故障处置时间的要求如下：</w:t>
      </w:r>
      <w:r/>
    </w:p>
    <w:p>
      <w:pPr>
        <w:ind w:firstLine="480"/>
        <w:jc w:val="left"/>
        <w:spacing w:line="440" w:lineRule="exact"/>
        <w:rPr>
          <w:rFonts w:ascii="宋体" w:hAnsi="宋体"/>
          <w:color w:val="auto"/>
          <w:sz w:val="24"/>
          <w:highlight w:val="none"/>
        </w:rPr>
      </w:pPr>
      <w:r>
        <w:rPr>
          <w:rFonts w:hint="eastAsia" w:ascii="宋体" w:hAnsi="宋体"/>
          <w:color w:val="auto"/>
          <w:sz w:val="24"/>
          <w:highlight w:val="none"/>
        </w:rPr>
        <w:t xml:space="preserve">1）由于网络和安全设备故障导致核心业务系统不可用，恢复时间应在20分钟以内；</w:t>
      </w:r>
      <w:r/>
    </w:p>
    <w:p>
      <w:pPr>
        <w:ind w:firstLine="480"/>
        <w:jc w:val="left"/>
        <w:spacing w:line="440" w:lineRule="exact"/>
        <w:rPr>
          <w:rFonts w:ascii="宋体" w:hAnsi="宋体"/>
          <w:color w:val="auto"/>
          <w:sz w:val="24"/>
          <w:highlight w:val="none"/>
        </w:rPr>
      </w:pPr>
      <w:r>
        <w:rPr>
          <w:rFonts w:hint="eastAsia" w:ascii="宋体" w:hAnsi="宋体"/>
          <w:color w:val="auto"/>
          <w:sz w:val="24"/>
          <w:highlight w:val="none"/>
        </w:rPr>
        <w:t xml:space="preserve">2）核心业务系统失去冗余(可能导致业务系统不可用)的或非核心业务系统不可用的，恢复时间应在2小时以内；</w:t>
      </w:r>
      <w:r/>
    </w:p>
    <w:p>
      <w:pPr>
        <w:ind w:firstLine="480"/>
        <w:jc w:val="left"/>
        <w:spacing w:line="440" w:lineRule="exact"/>
        <w:rPr>
          <w:rFonts w:ascii="宋体" w:hAnsi="宋体"/>
          <w:color w:val="auto"/>
          <w:sz w:val="24"/>
          <w:highlight w:val="none"/>
        </w:rPr>
      </w:pPr>
      <w:r>
        <w:rPr>
          <w:rFonts w:hint="eastAsia" w:ascii="宋体" w:hAnsi="宋体"/>
          <w:color w:val="auto"/>
          <w:sz w:val="24"/>
          <w:highlight w:val="none"/>
        </w:rPr>
        <w:t xml:space="preserve">3）其他隐患类故障，恢复时间由供应商与采购人协商决定，原则上不超过3个工作日。</w:t>
      </w:r>
      <w:r/>
    </w:p>
    <w:p>
      <w:pPr>
        <w:ind w:firstLine="480"/>
        <w:jc w:val="left"/>
        <w:spacing w:line="440" w:lineRule="exact"/>
        <w:rPr>
          <w:rFonts w:ascii="宋体" w:hAnsi="宋体"/>
          <w:color w:val="auto"/>
          <w:sz w:val="24"/>
          <w:highlight w:val="none"/>
        </w:rPr>
      </w:pPr>
      <w:r>
        <w:rPr>
          <w:rFonts w:hint="eastAsia" w:ascii="宋体" w:hAnsi="宋体"/>
          <w:color w:val="auto"/>
          <w:sz w:val="24"/>
          <w:highlight w:val="none"/>
        </w:rPr>
        <w:t xml:space="preserve">故障处置完成后，除提交故障处置报告以外还应提交问题分析报告，分析故障产生的原因，并提出预防性改善建议。</w:t>
      </w:r>
      <w:r/>
    </w:p>
    <w:p>
      <w:pPr>
        <w:ind w:firstLine="480"/>
        <w:jc w:val="left"/>
        <w:spacing w:line="440" w:lineRule="exact"/>
        <w:rPr>
          <w:rFonts w:ascii="宋体" w:hAnsi="宋体"/>
          <w:color w:val="auto"/>
          <w:sz w:val="24"/>
          <w:highlight w:val="none"/>
        </w:rPr>
      </w:pPr>
      <w:r>
        <w:rPr>
          <w:rFonts w:hint="eastAsia" w:ascii="宋体" w:hAnsi="宋体"/>
          <w:color w:val="auto"/>
          <w:sz w:val="24"/>
          <w:highlight w:val="none"/>
        </w:rPr>
        <w:t xml:space="preserve">在规定处置时间内无法修复故障的，供应商提供备品、备机。</w:t>
      </w:r>
      <w:r/>
    </w:p>
    <w:p>
      <w:pPr>
        <w:ind w:firstLine="480"/>
        <w:jc w:val="left"/>
        <w:spacing w:line="440" w:lineRule="exact"/>
        <w:rPr>
          <w:rFonts w:ascii="宋体" w:hAnsi="宋体"/>
          <w:color w:val="auto"/>
          <w:sz w:val="24"/>
          <w:highlight w:val="none"/>
        </w:rPr>
      </w:pPr>
      <w:r>
        <w:rPr>
          <w:rFonts w:hint="eastAsia" w:ascii="宋体" w:hAnsi="宋体"/>
          <w:color w:val="auto"/>
          <w:sz w:val="24"/>
          <w:highlight w:val="none"/>
        </w:rPr>
        <w:t xml:space="preserve">在法定节假日（元旦、春节、五一、十一等）期间、重大活动（由采购人指定并提前告知）前及其举行期间，应根据采购人的具体要求对网络和安全设备进行额外的维护巡检，确保设备及系统在此时期的正常工作，必要时应派专业工程师在现场实施驻点保障服务。</w:t>
      </w:r>
      <w:r/>
    </w:p>
    <w:p>
      <w:pPr>
        <w:jc w:val="left"/>
        <w:spacing w:line="440" w:lineRule="exact"/>
        <w:rPr>
          <w:rFonts w:ascii="宋体" w:hAnsi="宋体"/>
          <w:b/>
          <w:color w:val="auto"/>
          <w:sz w:val="24"/>
          <w:highlight w:val="none"/>
        </w:rPr>
      </w:pPr>
      <w:r>
        <w:rPr>
          <w:rFonts w:hint="eastAsia" w:ascii="宋体" w:hAnsi="宋体"/>
          <w:b/>
          <w:color w:val="auto"/>
          <w:sz w:val="24"/>
          <w:highlight w:val="none"/>
        </w:rPr>
        <w:t xml:space="preserve">5、其它工作</w:t>
      </w:r>
      <w:r/>
    </w:p>
    <w:p>
      <w:pPr>
        <w:jc w:val="left"/>
        <w:spacing w:line="440" w:lineRule="exact"/>
        <w:rPr>
          <w:rFonts w:ascii="宋体" w:hAnsi="宋体"/>
          <w:color w:val="auto"/>
          <w:sz w:val="24"/>
          <w:highlight w:val="none"/>
        </w:rPr>
      </w:pPr>
      <w:r>
        <w:rPr>
          <w:rFonts w:hint="eastAsia" w:ascii="宋体" w:hAnsi="宋体"/>
          <w:color w:val="auto"/>
          <w:sz w:val="24"/>
          <w:highlight w:val="none"/>
        </w:rPr>
        <w:t xml:space="preserve">（1）安全整改</w:t>
      </w:r>
      <w:r/>
    </w:p>
    <w:p>
      <w:pPr>
        <w:ind w:firstLine="480"/>
        <w:jc w:val="left"/>
        <w:spacing w:line="440" w:lineRule="exact"/>
        <w:rPr>
          <w:rFonts w:ascii="宋体" w:hAnsi="宋体"/>
          <w:color w:val="auto"/>
          <w:sz w:val="24"/>
          <w:highlight w:val="none"/>
        </w:rPr>
      </w:pPr>
      <w:r>
        <w:rPr>
          <w:rFonts w:hint="eastAsia" w:ascii="宋体" w:hAnsi="宋体"/>
          <w:color w:val="auto"/>
          <w:sz w:val="24"/>
          <w:highlight w:val="none"/>
        </w:rPr>
        <w:t xml:space="preserve">根据采购人要求，在每年等保测评时，根据测评情况做好所有网络和安全设备的安全整改，包括网络和安全设备密码的修改、补丁升级、策略调整等相关工作，确保安全整改过程中及整改后网络和安全设备的正常运行。应与采购人签定保密协议，遵守有关保密规定，在未经采购人同意的前提下，不得向第三方人员透露系统的用户密码、设备相关数据、配置情况等信息。</w:t>
      </w:r>
      <w:r/>
    </w:p>
    <w:p>
      <w:pPr>
        <w:jc w:val="left"/>
        <w:spacing w:line="440" w:lineRule="exact"/>
        <w:rPr>
          <w:rFonts w:ascii="宋体" w:hAnsi="宋体"/>
          <w:color w:val="auto"/>
          <w:sz w:val="24"/>
          <w:highlight w:val="none"/>
        </w:rPr>
      </w:pPr>
      <w:r>
        <w:rPr>
          <w:rFonts w:hint="eastAsia" w:ascii="宋体" w:hAnsi="宋体"/>
          <w:color w:val="auto"/>
          <w:sz w:val="24"/>
          <w:highlight w:val="none"/>
        </w:rPr>
        <w:t xml:space="preserve">（2）不限次的系统升级</w:t>
      </w:r>
      <w:r/>
    </w:p>
    <w:p>
      <w:pPr>
        <w:ind w:firstLine="480"/>
        <w:jc w:val="left"/>
        <w:spacing w:line="440" w:lineRule="exact"/>
        <w:rPr>
          <w:rFonts w:ascii="宋体" w:hAnsi="宋体"/>
          <w:color w:val="auto"/>
          <w:sz w:val="24"/>
          <w:highlight w:val="none"/>
        </w:rPr>
      </w:pPr>
      <w:r>
        <w:rPr>
          <w:rFonts w:hint="eastAsia" w:ascii="宋体" w:hAnsi="宋体"/>
          <w:color w:val="auto"/>
          <w:sz w:val="24"/>
          <w:highlight w:val="none"/>
        </w:rPr>
        <w:t xml:space="preserve">供应商应根据采购人的要求，按时完成各类网络和安全设备系统升级。</w:t>
      </w:r>
      <w:r/>
    </w:p>
    <w:p>
      <w:pPr>
        <w:jc w:val="left"/>
        <w:spacing w:line="440" w:lineRule="exact"/>
        <w:rPr>
          <w:rFonts w:ascii="宋体" w:hAnsi="宋体"/>
          <w:color w:val="auto"/>
          <w:sz w:val="24"/>
          <w:highlight w:val="none"/>
        </w:rPr>
      </w:pPr>
      <w:r>
        <w:rPr>
          <w:rFonts w:hint="eastAsia" w:ascii="宋体" w:hAnsi="宋体"/>
          <w:color w:val="auto"/>
          <w:sz w:val="24"/>
          <w:highlight w:val="none"/>
        </w:rPr>
        <w:t xml:space="preserve">（3）停机维护</w:t>
      </w:r>
      <w:r/>
    </w:p>
    <w:p>
      <w:pPr>
        <w:ind w:firstLine="480"/>
        <w:jc w:val="left"/>
        <w:spacing w:line="440" w:lineRule="exact"/>
        <w:rPr>
          <w:rFonts w:ascii="宋体" w:hAnsi="宋体"/>
          <w:color w:val="auto"/>
          <w:sz w:val="24"/>
          <w:highlight w:val="none"/>
        </w:rPr>
      </w:pPr>
      <w:r>
        <w:rPr>
          <w:rFonts w:hint="eastAsia" w:ascii="宋体" w:hAnsi="宋体"/>
          <w:color w:val="auto"/>
          <w:sz w:val="24"/>
          <w:highlight w:val="none"/>
        </w:rPr>
        <w:t xml:space="preserve">供应商应根据采购人的要求，制定各类设备停机维护的详细实施计划。停机维护应在具备认证资质的工程师指导下进行。具体停机维护时间由采购人提前通知，原则上一年一次。</w:t>
      </w:r>
      <w:r/>
    </w:p>
    <w:p>
      <w:pPr>
        <w:jc w:val="left"/>
        <w:spacing w:line="440" w:lineRule="exact"/>
        <w:rPr>
          <w:rFonts w:ascii="宋体" w:hAnsi="宋体"/>
          <w:color w:val="auto"/>
          <w:sz w:val="24"/>
          <w:highlight w:val="none"/>
        </w:rPr>
      </w:pPr>
      <w:r>
        <w:rPr>
          <w:rFonts w:hint="eastAsia" w:ascii="宋体" w:hAnsi="宋体"/>
          <w:color w:val="auto"/>
          <w:sz w:val="24"/>
          <w:highlight w:val="none"/>
        </w:rPr>
        <w:t xml:space="preserve">（4）设备迁移</w:t>
      </w:r>
      <w:r/>
    </w:p>
    <w:p>
      <w:pPr>
        <w:ind w:firstLine="480"/>
        <w:jc w:val="left"/>
        <w:spacing w:line="440" w:lineRule="exact"/>
        <w:rPr>
          <w:rFonts w:ascii="宋体" w:hAnsi="宋体"/>
          <w:color w:val="auto"/>
          <w:sz w:val="24"/>
          <w:highlight w:val="none"/>
        </w:rPr>
      </w:pPr>
      <w:r>
        <w:rPr>
          <w:rFonts w:hint="eastAsia" w:ascii="宋体" w:hAnsi="宋体"/>
          <w:color w:val="auto"/>
          <w:sz w:val="24"/>
          <w:highlight w:val="none"/>
        </w:rPr>
        <w:t xml:space="preserve">供应商应根据采购人的要求，对设备进行物理迁移；采购人如需要使用旧网络设备，供应商提供相应的安装、测试服务。</w:t>
      </w:r>
      <w:r/>
    </w:p>
    <w:p>
      <w:pPr>
        <w:jc w:val="left"/>
        <w:spacing w:line="440" w:lineRule="exact"/>
        <w:rPr>
          <w:rFonts w:ascii="宋体" w:hAnsi="宋体"/>
          <w:color w:val="auto"/>
          <w:sz w:val="24"/>
          <w:highlight w:val="none"/>
        </w:rPr>
      </w:pPr>
      <w:r>
        <w:rPr>
          <w:rFonts w:hint="eastAsia" w:ascii="宋体" w:hAnsi="宋体"/>
          <w:color w:val="auto"/>
          <w:sz w:val="24"/>
          <w:highlight w:val="none"/>
        </w:rPr>
        <w:t xml:space="preserve">（5）采购人认为应当由供应商完成的网络安全运维工作</w:t>
      </w:r>
      <w:r/>
    </w:p>
    <w:p>
      <w:pPr>
        <w:ind w:firstLine="480"/>
        <w:jc w:val="left"/>
        <w:spacing w:line="440" w:lineRule="exact"/>
        <w:rPr>
          <w:rFonts w:ascii="宋体" w:hAnsi="宋体"/>
          <w:color w:val="auto"/>
          <w:sz w:val="24"/>
          <w:highlight w:val="none"/>
        </w:rPr>
      </w:pPr>
      <w:r>
        <w:rPr>
          <w:rFonts w:hint="eastAsia" w:ascii="宋体" w:hAnsi="宋体"/>
          <w:color w:val="auto"/>
          <w:sz w:val="24"/>
          <w:highlight w:val="none"/>
        </w:rPr>
        <w:t xml:space="preserve">包括但不限于采购人基层网点（分布于丹阳市街道、乡镇、社区等基层经办机构）的网络安全策略调整、运维服务，采购人灾备机房相关设备的网络安全策略调整、运维服务，与采购人网络互通的外联单位边界设备的网络安全策略调整、运维服务等。</w:t>
      </w:r>
      <w:r/>
    </w:p>
    <w:p>
      <w:pPr>
        <w:jc w:val="left"/>
        <w:spacing w:line="440" w:lineRule="exact"/>
        <w:rPr>
          <w:rFonts w:ascii="宋体" w:hAnsi="宋体"/>
          <w:b/>
          <w:color w:val="auto"/>
          <w:sz w:val="24"/>
          <w:highlight w:val="none"/>
        </w:rPr>
      </w:pPr>
      <w:r>
        <w:rPr>
          <w:rFonts w:hint="eastAsia" w:ascii="宋体" w:hAnsi="宋体"/>
          <w:b/>
          <w:color w:val="auto"/>
          <w:sz w:val="24"/>
          <w:highlight w:val="none"/>
        </w:rPr>
        <w:t xml:space="preserve">（二）技术培训</w:t>
      </w:r>
      <w:r/>
    </w:p>
    <w:p>
      <w:pPr>
        <w:ind w:firstLine="480"/>
        <w:jc w:val="left"/>
        <w:spacing w:line="440" w:lineRule="exact"/>
        <w:rPr>
          <w:rFonts w:ascii="宋体" w:hAnsi="宋体"/>
          <w:color w:val="auto"/>
          <w:sz w:val="24"/>
          <w:highlight w:val="none"/>
        </w:rPr>
      </w:pPr>
      <w:r>
        <w:rPr>
          <w:rFonts w:hint="eastAsia" w:ascii="宋体" w:hAnsi="宋体"/>
          <w:color w:val="auto"/>
          <w:sz w:val="24"/>
          <w:highlight w:val="none"/>
        </w:rPr>
        <w:t xml:space="preserve">供应商还应提供技术培训服务，具体由两部分组成：一是原厂商培训，主要由设备厂商</w:t>
      </w:r>
      <w:r>
        <w:rPr>
          <w:rFonts w:hint="eastAsia" w:ascii="宋体" w:hAnsi="宋体"/>
          <w:color w:val="auto"/>
          <w:sz w:val="24"/>
          <w:highlight w:val="none"/>
          <w:lang w:val="en-US" w:eastAsia="zh-CN"/>
        </w:rPr>
        <w:t xml:space="preserve">或</w:t>
      </w:r>
      <w:r>
        <w:rPr>
          <w:rFonts w:hint="eastAsia" w:ascii="宋体" w:hAnsi="宋体"/>
          <w:color w:val="auto"/>
          <w:sz w:val="24"/>
          <w:highlight w:val="none"/>
        </w:rPr>
        <w:t xml:space="preserve">代理商的工程师提供最新产品介绍、产品使用和保养说明等技术培训，全年累计时间不少于30课时；二是第三方培训，主要由第三方的专业培训机构提供各类网络技术培训及认证，每年不少于3人2次。</w:t>
      </w:r>
      <w:r/>
    </w:p>
    <w:p>
      <w:pPr>
        <w:jc w:val="left"/>
        <w:spacing w:line="440" w:lineRule="exact"/>
        <w:rPr>
          <w:rFonts w:ascii="宋体" w:hAnsi="宋体"/>
          <w:b/>
          <w:color w:val="auto"/>
          <w:sz w:val="24"/>
          <w:highlight w:val="none"/>
        </w:rPr>
      </w:pPr>
      <w:r>
        <w:rPr>
          <w:rFonts w:hint="eastAsia" w:ascii="宋体" w:hAnsi="宋体"/>
          <w:b/>
          <w:color w:val="auto"/>
          <w:sz w:val="24"/>
          <w:highlight w:val="none"/>
        </w:rPr>
        <w:t xml:space="preserve">（三）文档记录</w:t>
      </w:r>
      <w:r/>
    </w:p>
    <w:p>
      <w:pPr>
        <w:ind w:firstLine="480"/>
        <w:jc w:val="left"/>
        <w:spacing w:line="440" w:lineRule="exact"/>
        <w:rPr>
          <w:rFonts w:ascii="宋体" w:hAnsi="宋体"/>
          <w:color w:val="auto"/>
          <w:sz w:val="24"/>
          <w:highlight w:val="none"/>
        </w:rPr>
      </w:pPr>
      <w:r>
        <w:rPr>
          <w:rFonts w:hint="eastAsia" w:ascii="宋体" w:hAnsi="宋体"/>
          <w:color w:val="auto"/>
          <w:sz w:val="24"/>
          <w:highlight w:val="none"/>
        </w:rPr>
        <w:t xml:space="preserve">供应商应建立完整的文档记录，按时向采购人提供装订成册的纸质版与电子版，具体要求为：</w:t>
      </w:r>
      <w:r/>
    </w:p>
    <w:p>
      <w:pPr>
        <w:jc w:val="left"/>
        <w:spacing w:line="440" w:lineRule="exact"/>
        <w:rPr>
          <w:rFonts w:ascii="宋体" w:hAnsi="宋体"/>
          <w:color w:val="auto"/>
          <w:sz w:val="24"/>
          <w:highlight w:val="none"/>
        </w:rPr>
      </w:pPr>
      <w:r>
        <w:rPr>
          <w:rFonts w:hint="eastAsia" w:ascii="宋体" w:hAnsi="宋体"/>
          <w:color w:val="auto"/>
          <w:sz w:val="24"/>
          <w:highlight w:val="none"/>
        </w:rPr>
        <w:t xml:space="preserve">（1）签订维保合同10天内，供应商提交 《系统日常巡检作业指导书》，《系统日常巡检作业指导书》经采购人审核、批准后，由工程师执行日常巡检；</w:t>
      </w:r>
      <w:r/>
    </w:p>
    <w:p>
      <w:pPr>
        <w:jc w:val="left"/>
        <w:spacing w:line="440" w:lineRule="exact"/>
        <w:rPr>
          <w:rFonts w:ascii="宋体" w:hAnsi="宋体"/>
          <w:color w:val="auto"/>
          <w:sz w:val="24"/>
          <w:highlight w:val="none"/>
        </w:rPr>
      </w:pPr>
      <w:r>
        <w:rPr>
          <w:rFonts w:hint="eastAsia" w:ascii="宋体" w:hAnsi="宋体"/>
          <w:color w:val="auto"/>
          <w:sz w:val="24"/>
          <w:highlight w:val="none"/>
        </w:rPr>
        <w:t xml:space="preserve">（2）签订维保合同10天内，供应商提交《维保设备信息登记表》，记录保修设备的详细配置信息，核对网络结构拓扑图；</w:t>
      </w:r>
      <w:r/>
    </w:p>
    <w:p>
      <w:pPr>
        <w:jc w:val="left"/>
        <w:spacing w:line="440" w:lineRule="exact"/>
        <w:rPr>
          <w:rFonts w:ascii="宋体" w:hAnsi="宋体"/>
          <w:color w:val="auto"/>
          <w:sz w:val="24"/>
          <w:highlight w:val="none"/>
        </w:rPr>
      </w:pPr>
      <w:r>
        <w:rPr>
          <w:rFonts w:hint="eastAsia" w:ascii="宋体" w:hAnsi="宋体"/>
          <w:color w:val="auto"/>
          <w:sz w:val="24"/>
          <w:highlight w:val="none"/>
        </w:rPr>
        <w:t xml:space="preserve">（3）维保期内应及时维护和更新《维保设备信息登记表》和网络结构拓扑图，包括位置、参数、配置的变更；</w:t>
      </w:r>
      <w:r/>
    </w:p>
    <w:p>
      <w:pPr>
        <w:jc w:val="left"/>
        <w:spacing w:line="440" w:lineRule="exact"/>
        <w:rPr>
          <w:rFonts w:ascii="宋体" w:hAnsi="宋体"/>
          <w:color w:val="auto"/>
          <w:sz w:val="24"/>
          <w:highlight w:val="none"/>
        </w:rPr>
      </w:pPr>
      <w:r>
        <w:rPr>
          <w:rFonts w:hint="eastAsia" w:ascii="宋体" w:hAnsi="宋体"/>
          <w:color w:val="auto"/>
          <w:sz w:val="24"/>
          <w:highlight w:val="none"/>
        </w:rPr>
        <w:t xml:space="preserve">（4）每个自然月的30日前向采购人提供当月的巡检报告，详细记录巡检日期、巡检人、巡检内容、问题、采取措施及建议、备品备件的使用及储备情况等内容，双方签字确认；</w:t>
      </w:r>
      <w:r/>
    </w:p>
    <w:p>
      <w:pPr>
        <w:jc w:val="left"/>
        <w:spacing w:line="440" w:lineRule="exact"/>
        <w:rPr>
          <w:rFonts w:ascii="宋体" w:hAnsi="宋体"/>
          <w:color w:val="auto"/>
          <w:sz w:val="24"/>
          <w:highlight w:val="none"/>
        </w:rPr>
      </w:pPr>
      <w:r>
        <w:rPr>
          <w:rFonts w:hint="eastAsia" w:ascii="宋体" w:hAnsi="宋体"/>
          <w:color w:val="auto"/>
          <w:sz w:val="24"/>
          <w:highlight w:val="none"/>
        </w:rPr>
        <w:t xml:space="preserve">（5）故障抢修后的1个工作日内向采购人提交“故障检修报告”，每个自然月的30日前向采购人提供当月的抢修统计记录，其中至少记录接报修时间、报修人、到达现场时间、修复时间、故障原因、故障现象、抢修过程等；</w:t>
      </w:r>
      <w:r/>
    </w:p>
    <w:p>
      <w:pPr>
        <w:jc w:val="left"/>
        <w:spacing w:line="440" w:lineRule="exact"/>
        <w:rPr>
          <w:rFonts w:ascii="宋体" w:hAnsi="宋体"/>
          <w:color w:val="auto"/>
          <w:sz w:val="24"/>
          <w:highlight w:val="none"/>
        </w:rPr>
      </w:pPr>
      <w:r>
        <w:rPr>
          <w:rFonts w:hint="eastAsia" w:ascii="宋体" w:hAnsi="宋体"/>
          <w:color w:val="auto"/>
          <w:sz w:val="24"/>
          <w:highlight w:val="none"/>
        </w:rPr>
        <w:t xml:space="preserve">（6）每季度第一月的10日前，提供上季度维保服务总结报告；</w:t>
      </w:r>
      <w:r/>
    </w:p>
    <w:p>
      <w:pPr>
        <w:jc w:val="left"/>
        <w:spacing w:line="440" w:lineRule="exact"/>
        <w:rPr>
          <w:rFonts w:ascii="宋体" w:hAnsi="宋体"/>
          <w:color w:val="auto"/>
          <w:sz w:val="24"/>
          <w:highlight w:val="none"/>
        </w:rPr>
      </w:pPr>
      <w:r>
        <w:rPr>
          <w:rFonts w:hint="eastAsia" w:ascii="宋体" w:hAnsi="宋体"/>
          <w:color w:val="auto"/>
          <w:sz w:val="24"/>
          <w:highlight w:val="none"/>
        </w:rPr>
        <w:t xml:space="preserve">（7）维保服务合同到期后的3天内，提供维保服务总结报告。</w:t>
      </w:r>
      <w:r/>
    </w:p>
    <w:p>
      <w:pPr>
        <w:jc w:val="left"/>
        <w:spacing w:line="440" w:lineRule="exact"/>
        <w:rPr>
          <w:rFonts w:ascii="宋体" w:hAnsi="宋体"/>
          <w:b/>
          <w:color w:val="auto"/>
          <w:sz w:val="24"/>
          <w:highlight w:val="none"/>
        </w:rPr>
      </w:pPr>
      <w:r>
        <w:rPr>
          <w:rFonts w:hint="eastAsia" w:ascii="宋体" w:hAnsi="宋体"/>
          <w:b/>
          <w:color w:val="auto"/>
          <w:sz w:val="24"/>
          <w:highlight w:val="none"/>
          <w:lang w:val="en-US" w:eastAsia="zh-CN"/>
        </w:rPr>
        <w:t xml:space="preserve">4</w:t>
      </w:r>
      <w:r>
        <w:rPr>
          <w:rFonts w:hint="eastAsia" w:ascii="宋体" w:hAnsi="宋体"/>
          <w:b/>
          <w:color w:val="auto"/>
          <w:sz w:val="24"/>
          <w:highlight w:val="none"/>
        </w:rPr>
        <w:t xml:space="preserve">.2综合柜员制大厅设施设备</w:t>
      </w:r>
      <w:r>
        <w:rPr>
          <w:rFonts w:ascii="宋体" w:hAnsi="宋体"/>
          <w:b/>
          <w:color w:val="auto"/>
          <w:sz w:val="24"/>
          <w:highlight w:val="none"/>
        </w:rPr>
        <w:t xml:space="preserve">维保服务</w:t>
      </w:r>
      <w:r/>
    </w:p>
    <w:p>
      <w:pPr>
        <w:jc w:val="left"/>
        <w:spacing w:line="440" w:lineRule="exact"/>
        <w:rPr>
          <w:rFonts w:ascii="宋体" w:hAnsi="宋体"/>
          <w:b/>
          <w:color w:val="auto"/>
          <w:sz w:val="24"/>
          <w:highlight w:val="none"/>
        </w:rPr>
      </w:pPr>
      <w:r>
        <w:rPr>
          <w:rFonts w:hint="eastAsia" w:ascii="宋体" w:hAnsi="宋体"/>
          <w:b/>
          <w:color w:val="auto"/>
          <w:sz w:val="24"/>
          <w:highlight w:val="none"/>
        </w:rPr>
        <w:t xml:space="preserve">（一）服务内容</w:t>
      </w:r>
      <w:r/>
    </w:p>
    <w:p>
      <w:pPr>
        <w:ind w:firstLine="555"/>
        <w:spacing w:line="360" w:lineRule="auto"/>
        <w:rPr>
          <w:rFonts w:ascii="宋体" w:hAnsi="宋体"/>
          <w:color w:val="auto"/>
          <w:sz w:val="24"/>
          <w:highlight w:val="none"/>
        </w:rPr>
      </w:pPr>
      <w:r>
        <w:rPr>
          <w:rFonts w:hint="eastAsia" w:ascii="宋体" w:hAnsi="宋体"/>
          <w:color w:val="auto"/>
          <w:sz w:val="24"/>
          <w:highlight w:val="none"/>
        </w:rPr>
        <w:t xml:space="preserve">1．供应商需熟悉丹阳人社综合柜员制大厅网络架构及内部布线情况，对排队叫号系统、监控系统、大厅LED全彩电子屏、室外LED全彩电子屏、扩声系统、业务终端及外设系统进行维保。包括：硬件设备故障的分析和排除；前端</w:t>
      </w:r>
      <w:r>
        <w:rPr>
          <w:rFonts w:ascii="宋体" w:hAnsi="宋体"/>
          <w:color w:val="auto"/>
          <w:sz w:val="24"/>
          <w:highlight w:val="none"/>
        </w:rPr>
        <w:t xml:space="preserve">设备</w:t>
      </w:r>
      <w:r>
        <w:rPr>
          <w:rFonts w:hint="eastAsia" w:ascii="宋体" w:hAnsi="宋体"/>
          <w:color w:val="auto"/>
          <w:sz w:val="24"/>
          <w:highlight w:val="none"/>
        </w:rPr>
        <w:t xml:space="preserve">系统类软件、通用软件的安装和故障排除；配合采购人做好省级一体化应用系统和丹阳人社各类应用系统的前端安装和故障判断；配合采购人做好维保设备的软硬件升级服务。</w:t>
      </w:r>
      <w:r/>
    </w:p>
    <w:p>
      <w:pPr>
        <w:ind w:firstLine="555"/>
        <w:spacing w:line="360" w:lineRule="auto"/>
        <w:rPr>
          <w:rFonts w:ascii="宋体" w:hAnsi="宋体"/>
          <w:color w:val="auto"/>
          <w:sz w:val="24"/>
          <w:highlight w:val="none"/>
        </w:rPr>
      </w:pPr>
      <w:r>
        <w:rPr>
          <w:rFonts w:hint="eastAsia" w:ascii="宋体" w:hAnsi="宋体"/>
          <w:color w:val="auto"/>
          <w:sz w:val="24"/>
          <w:highlight w:val="none"/>
        </w:rPr>
        <w:t xml:space="preserve">2.协助采购人做好读卡器、扫描仪、高拍仪、签批屏等必要外设的故障判断，确认为相关设备本身故障后，做好维修工作。</w:t>
      </w:r>
      <w:r/>
    </w:p>
    <w:p>
      <w:pPr>
        <w:ind w:firstLine="570"/>
        <w:spacing w:line="360" w:lineRule="auto"/>
        <w:rPr>
          <w:rFonts w:ascii="宋体" w:hAnsi="宋体"/>
          <w:color w:val="auto"/>
          <w:sz w:val="24"/>
          <w:highlight w:val="none"/>
        </w:rPr>
      </w:pPr>
      <w:r>
        <w:rPr>
          <w:rFonts w:hint="eastAsia" w:ascii="宋体" w:hAnsi="宋体"/>
          <w:color w:val="auto"/>
          <w:sz w:val="24"/>
          <w:highlight w:val="none"/>
        </w:rPr>
        <w:t xml:space="preserve">3．供应商在现场无法解决问题时，需及时向采购人有关人员报告详细</w:t>
      </w:r>
      <w:r>
        <w:rPr>
          <w:rFonts w:ascii="宋体" w:hAnsi="宋体"/>
          <w:color w:val="auto"/>
          <w:sz w:val="24"/>
          <w:highlight w:val="none"/>
        </w:rPr>
        <w:t xml:space="preserve">情况</w:t>
      </w:r>
      <w:r>
        <w:rPr>
          <w:rFonts w:hint="eastAsia" w:ascii="宋体" w:hAnsi="宋体"/>
          <w:color w:val="auto"/>
          <w:sz w:val="24"/>
          <w:highlight w:val="none"/>
        </w:rPr>
        <w:t xml:space="preserve">，在征得同意后，可将设备带回维修。</w:t>
      </w:r>
      <w:r/>
    </w:p>
    <w:p>
      <w:pPr>
        <w:ind w:firstLine="570"/>
        <w:spacing w:line="360" w:lineRule="auto"/>
        <w:rPr>
          <w:rFonts w:ascii="宋体" w:hAnsi="宋体"/>
          <w:b/>
          <w:color w:val="auto"/>
          <w:sz w:val="24"/>
          <w:highlight w:val="none"/>
        </w:rPr>
      </w:pPr>
      <w:r>
        <w:rPr>
          <w:rFonts w:hint="eastAsia" w:ascii="宋体" w:hAnsi="宋体"/>
          <w:color w:val="auto"/>
          <w:sz w:val="24"/>
          <w:highlight w:val="none"/>
        </w:rPr>
        <w:t xml:space="preserve">4．硬件设备损坏需要更换、维修时，须经采购人工作人员</w:t>
      </w:r>
      <w:r>
        <w:rPr>
          <w:rFonts w:hint="eastAsia" w:ascii="宋体" w:hAnsi="宋体"/>
          <w:color w:val="auto"/>
          <w:sz w:val="24"/>
          <w:highlight w:val="none"/>
          <w:lang w:val="en-US" w:eastAsia="zh-CN"/>
        </w:rPr>
        <w:t xml:space="preserve">确认</w:t>
      </w:r>
      <w:r>
        <w:rPr>
          <w:rFonts w:hint="eastAsia" w:ascii="宋体" w:hAnsi="宋体"/>
          <w:color w:val="auto"/>
          <w:sz w:val="24"/>
          <w:highlight w:val="none"/>
        </w:rPr>
        <w:t xml:space="preserve">，更换硬件费用需</w:t>
      </w:r>
      <w:r>
        <w:rPr>
          <w:rFonts w:hint="eastAsia" w:ascii="宋体" w:hAnsi="宋体"/>
          <w:color w:val="auto"/>
          <w:sz w:val="24"/>
          <w:highlight w:val="none"/>
          <w:lang w:val="en-US" w:eastAsia="zh-CN"/>
        </w:rPr>
        <w:t xml:space="preserve">报送</w:t>
      </w:r>
      <w:r>
        <w:rPr>
          <w:rFonts w:hint="eastAsia" w:ascii="宋体" w:hAnsi="宋体"/>
          <w:color w:val="auto"/>
          <w:sz w:val="24"/>
          <w:highlight w:val="none"/>
        </w:rPr>
        <w:t xml:space="preserve">采购人工作人员</w:t>
      </w:r>
      <w:r>
        <w:rPr>
          <w:rFonts w:hint="eastAsia" w:ascii="宋体" w:hAnsi="宋体"/>
          <w:color w:val="auto"/>
          <w:sz w:val="24"/>
          <w:highlight w:val="none"/>
          <w:lang w:val="en-US" w:eastAsia="zh-CN"/>
        </w:rPr>
        <w:t xml:space="preserve">核对确认</w:t>
      </w:r>
      <w:r>
        <w:rPr>
          <w:rFonts w:hint="eastAsia" w:ascii="宋体" w:hAnsi="宋体"/>
          <w:color w:val="auto"/>
          <w:sz w:val="24"/>
          <w:highlight w:val="none"/>
        </w:rPr>
        <w:t xml:space="preserve">，不得收取服务费。如果在原厂质保期内，供应商须直接向原厂报修更换。</w:t>
      </w:r>
      <w:r/>
    </w:p>
    <w:p>
      <w:pPr>
        <w:jc w:val="left"/>
        <w:spacing w:line="440" w:lineRule="exact"/>
        <w:rPr>
          <w:rFonts w:ascii="宋体" w:hAnsi="宋体"/>
          <w:b/>
          <w:color w:val="auto"/>
          <w:sz w:val="24"/>
          <w:highlight w:val="none"/>
        </w:rPr>
      </w:pPr>
      <w:r>
        <w:rPr>
          <w:rFonts w:hint="eastAsia" w:ascii="宋体" w:hAnsi="宋体"/>
          <w:b/>
          <w:color w:val="auto"/>
          <w:sz w:val="24"/>
          <w:highlight w:val="none"/>
          <w:lang w:val="en-US" w:eastAsia="zh-CN"/>
        </w:rPr>
        <w:t xml:space="preserve">4</w:t>
      </w:r>
      <w:r>
        <w:rPr>
          <w:rFonts w:hint="eastAsia" w:ascii="宋体" w:hAnsi="宋体"/>
          <w:b/>
          <w:color w:val="auto"/>
          <w:sz w:val="24"/>
          <w:highlight w:val="none"/>
        </w:rPr>
        <w:t xml:space="preserve">.3终端电脑设备及电话配线系统运维服务</w:t>
      </w:r>
      <w:r/>
    </w:p>
    <w:p>
      <w:pPr>
        <w:jc w:val="left"/>
        <w:spacing w:line="440" w:lineRule="exact"/>
        <w:rPr>
          <w:rFonts w:ascii="宋体" w:hAnsi="宋体"/>
          <w:b/>
          <w:color w:val="auto"/>
          <w:sz w:val="24"/>
          <w:highlight w:val="none"/>
        </w:rPr>
      </w:pPr>
      <w:r>
        <w:rPr>
          <w:rFonts w:hint="eastAsia" w:ascii="宋体" w:hAnsi="宋体"/>
          <w:b/>
          <w:color w:val="auto"/>
          <w:sz w:val="24"/>
          <w:highlight w:val="none"/>
        </w:rPr>
        <w:t xml:space="preserve">（一）服务内容</w:t>
      </w:r>
      <w:r/>
    </w:p>
    <w:p>
      <w:pPr>
        <w:ind w:firstLine="555"/>
        <w:spacing w:line="360" w:lineRule="auto"/>
        <w:rPr>
          <w:rFonts w:ascii="宋体" w:hAnsi="宋体"/>
          <w:color w:val="auto"/>
          <w:sz w:val="24"/>
          <w:highlight w:val="none"/>
        </w:rPr>
      </w:pPr>
      <w:r>
        <w:rPr>
          <w:rFonts w:hint="eastAsia" w:ascii="宋体" w:hAnsi="宋体"/>
          <w:color w:val="auto"/>
          <w:sz w:val="24"/>
          <w:highlight w:val="none"/>
        </w:rPr>
        <w:t xml:space="preserve">1．对采购人（丹阳市人力资源和社会保障局）局</w:t>
      </w:r>
      <w:r>
        <w:rPr>
          <w:rFonts w:hint="eastAsia" w:ascii="宋体" w:hAnsi="宋体"/>
          <w:color w:val="auto"/>
          <w:sz w:val="24"/>
          <w:highlight w:val="none"/>
          <w:lang w:eastAsia="zh-CN"/>
        </w:rPr>
        <w:t xml:space="preserve">机关科室</w:t>
      </w:r>
      <w:r>
        <w:rPr>
          <w:rFonts w:hint="eastAsia" w:ascii="宋体" w:hAnsi="宋体"/>
          <w:color w:val="auto"/>
          <w:sz w:val="24"/>
          <w:highlight w:val="none"/>
        </w:rPr>
        <w:t xml:space="preserve">、基层平台(街道和</w:t>
      </w:r>
      <w:r>
        <w:rPr>
          <w:rFonts w:ascii="宋体" w:hAnsi="宋体"/>
          <w:color w:val="auto"/>
          <w:sz w:val="24"/>
          <w:highlight w:val="none"/>
        </w:rPr>
        <w:t xml:space="preserve">乡镇人社服务</w:t>
      </w:r>
      <w:r>
        <w:rPr>
          <w:rFonts w:hint="eastAsia" w:ascii="宋体" w:hAnsi="宋体"/>
          <w:color w:val="auto"/>
          <w:sz w:val="24"/>
          <w:highlight w:val="none"/>
        </w:rPr>
        <w:t xml:space="preserve">经办</w:t>
      </w:r>
      <w:r>
        <w:rPr>
          <w:rFonts w:ascii="宋体" w:hAnsi="宋体"/>
          <w:color w:val="auto"/>
          <w:sz w:val="24"/>
          <w:highlight w:val="none"/>
        </w:rPr>
        <w:t xml:space="preserve">点</w:t>
      </w:r>
      <w:r>
        <w:rPr>
          <w:rFonts w:hint="eastAsia" w:ascii="宋体" w:hAnsi="宋体"/>
          <w:color w:val="auto"/>
          <w:sz w:val="24"/>
          <w:highlight w:val="none"/>
        </w:rPr>
        <w:t xml:space="preserve">)的业务终端电脑提供维保</w:t>
      </w:r>
      <w:r>
        <w:rPr>
          <w:rFonts w:ascii="宋体" w:hAnsi="宋体"/>
          <w:color w:val="auto"/>
          <w:sz w:val="24"/>
          <w:highlight w:val="none"/>
        </w:rPr>
        <w:t xml:space="preserve">服务</w:t>
      </w:r>
      <w:r>
        <w:rPr>
          <w:rFonts w:hint="eastAsia" w:ascii="宋体" w:hAnsi="宋体"/>
          <w:color w:val="auto"/>
          <w:sz w:val="24"/>
          <w:highlight w:val="none"/>
        </w:rPr>
        <w:t xml:space="preserve">。对采购人局机关大楼内的电话配线系统提供跳线及维护服务。</w:t>
      </w:r>
      <w:r/>
    </w:p>
    <w:p>
      <w:pPr>
        <w:ind w:firstLine="555"/>
        <w:spacing w:line="360" w:lineRule="auto"/>
        <w:rPr>
          <w:rFonts w:ascii="宋体" w:hAnsi="宋体"/>
          <w:color w:val="auto"/>
          <w:sz w:val="24"/>
          <w:highlight w:val="none"/>
        </w:rPr>
      </w:pPr>
      <w:r>
        <w:rPr>
          <w:rFonts w:hint="eastAsia" w:ascii="宋体" w:hAnsi="宋体"/>
          <w:color w:val="auto"/>
          <w:sz w:val="24"/>
          <w:highlight w:val="none"/>
        </w:rPr>
        <w:t xml:space="preserve">2．协助采购人做好网络故障的检查、判断和排除，确认为运营商通讯线路问题后，协助采购人做好通讯线路故障的报修工作。</w:t>
      </w:r>
      <w:r/>
    </w:p>
    <w:p>
      <w:pPr>
        <w:ind w:firstLine="555"/>
        <w:spacing w:line="360" w:lineRule="auto"/>
        <w:rPr>
          <w:rFonts w:ascii="宋体" w:hAnsi="宋体"/>
          <w:color w:val="auto"/>
          <w:sz w:val="24"/>
          <w:highlight w:val="none"/>
        </w:rPr>
      </w:pPr>
      <w:r>
        <w:rPr>
          <w:rFonts w:hint="eastAsia" w:ascii="宋体" w:hAnsi="宋体"/>
          <w:color w:val="auto"/>
          <w:sz w:val="24"/>
          <w:highlight w:val="none"/>
        </w:rPr>
        <w:t xml:space="preserve">3. 协助采购人做好读卡器、扫描仪、高拍仪、签批屏等必要外设的故障判断，确认为相关设备本身故障后，做好维修工作。</w:t>
      </w:r>
      <w:r/>
    </w:p>
    <w:p>
      <w:pPr>
        <w:ind w:firstLine="555"/>
        <w:spacing w:line="360" w:lineRule="auto"/>
        <w:rPr>
          <w:rFonts w:ascii="宋体" w:hAnsi="宋体"/>
          <w:color w:val="auto"/>
          <w:sz w:val="24"/>
          <w:highlight w:val="none"/>
        </w:rPr>
      </w:pPr>
      <w:r>
        <w:rPr>
          <w:rFonts w:hint="eastAsia" w:ascii="宋体" w:hAnsi="宋体"/>
          <w:color w:val="auto"/>
          <w:sz w:val="24"/>
          <w:highlight w:val="none"/>
        </w:rPr>
        <w:t xml:space="preserve">4．承担采购人根据维保工作需要安排的各项临时性维保任务及接入</w:t>
      </w:r>
      <w:r>
        <w:rPr>
          <w:rFonts w:ascii="宋体" w:hAnsi="宋体"/>
          <w:color w:val="auto"/>
          <w:sz w:val="24"/>
          <w:highlight w:val="none"/>
        </w:rPr>
        <w:t xml:space="preserve">网点</w:t>
      </w:r>
      <w:r>
        <w:rPr>
          <w:rFonts w:hint="eastAsia" w:ascii="宋体" w:hAnsi="宋体"/>
          <w:color w:val="auto"/>
          <w:sz w:val="24"/>
          <w:highlight w:val="none"/>
        </w:rPr>
        <w:t xml:space="preserve">网络</w:t>
      </w:r>
      <w:r>
        <w:rPr>
          <w:rFonts w:ascii="宋体" w:hAnsi="宋体"/>
          <w:color w:val="auto"/>
          <w:sz w:val="24"/>
          <w:highlight w:val="none"/>
        </w:rPr>
        <w:t xml:space="preserve">安全保障任务</w:t>
      </w:r>
      <w:r>
        <w:rPr>
          <w:rFonts w:hint="eastAsia" w:ascii="宋体" w:hAnsi="宋体"/>
          <w:color w:val="auto"/>
          <w:sz w:val="24"/>
          <w:highlight w:val="none"/>
        </w:rPr>
        <w:t xml:space="preserve">。</w:t>
      </w:r>
      <w:r/>
    </w:p>
    <w:p>
      <w:pPr>
        <w:ind w:firstLine="555"/>
        <w:spacing w:line="360" w:lineRule="auto"/>
        <w:rPr>
          <w:rFonts w:ascii="宋体" w:hAnsi="宋体"/>
          <w:color w:val="auto"/>
          <w:sz w:val="24"/>
          <w:highlight w:val="none"/>
        </w:rPr>
      </w:pPr>
      <w:r>
        <w:rPr>
          <w:rFonts w:hint="eastAsia" w:ascii="宋体" w:hAnsi="宋体"/>
          <w:color w:val="auto"/>
          <w:sz w:val="24"/>
          <w:highlight w:val="none"/>
        </w:rPr>
        <w:t xml:space="preserve">5．维保设备安装场所发生变更时，承担采购人</w:t>
      </w:r>
      <w:r>
        <w:rPr>
          <w:rFonts w:hint="eastAsia" w:ascii="宋体" w:hAnsi="宋体"/>
          <w:color w:val="auto"/>
          <w:sz w:val="24"/>
          <w:highlight w:val="none"/>
          <w:lang w:eastAsia="zh-CN"/>
        </w:rPr>
        <w:t xml:space="preserve">机关科室</w:t>
      </w:r>
      <w:r>
        <w:rPr>
          <w:rFonts w:hint="eastAsia" w:ascii="宋体" w:hAnsi="宋体"/>
          <w:color w:val="auto"/>
          <w:sz w:val="24"/>
          <w:highlight w:val="none"/>
        </w:rPr>
        <w:t xml:space="preserve">内部维保设备搬迁、安装和调试工作，做好网络调整工作；对于其它部门维保设备，配合做好维保设备搬迁后的安装和调试工作，做好网络调整工作。</w:t>
      </w:r>
      <w:r/>
    </w:p>
    <w:p>
      <w:pPr>
        <w:ind w:firstLine="570"/>
        <w:spacing w:line="360" w:lineRule="auto"/>
        <w:rPr>
          <w:rFonts w:ascii="宋体" w:hAnsi="宋体"/>
          <w:color w:val="auto"/>
          <w:sz w:val="24"/>
          <w:highlight w:val="none"/>
        </w:rPr>
      </w:pPr>
      <w:r>
        <w:rPr>
          <w:rFonts w:hint="eastAsia" w:ascii="宋体" w:hAnsi="宋体"/>
          <w:color w:val="auto"/>
          <w:sz w:val="24"/>
          <w:highlight w:val="none"/>
        </w:rPr>
        <w:t xml:space="preserve">6．供应商在现场无法解决问题时，需及时向采购人有关人员报告详细</w:t>
      </w:r>
      <w:r>
        <w:rPr>
          <w:rFonts w:ascii="宋体" w:hAnsi="宋体"/>
          <w:color w:val="auto"/>
          <w:sz w:val="24"/>
          <w:highlight w:val="none"/>
        </w:rPr>
        <w:t xml:space="preserve">情况</w:t>
      </w:r>
      <w:r>
        <w:rPr>
          <w:rFonts w:hint="eastAsia" w:ascii="宋体" w:hAnsi="宋体"/>
          <w:color w:val="auto"/>
          <w:sz w:val="24"/>
          <w:highlight w:val="none"/>
        </w:rPr>
        <w:t xml:space="preserve">，在征得同意后，可将设备带回维修。</w:t>
      </w:r>
      <w:r/>
    </w:p>
    <w:p>
      <w:pPr>
        <w:ind w:firstLine="570"/>
        <w:spacing w:line="360" w:lineRule="auto"/>
        <w:rPr>
          <w:rFonts w:ascii="宋体" w:hAnsi="宋体"/>
          <w:color w:val="auto"/>
          <w:sz w:val="24"/>
          <w:highlight w:val="none"/>
        </w:rPr>
      </w:pPr>
      <w:r>
        <w:rPr>
          <w:rFonts w:hint="eastAsia" w:ascii="宋体" w:hAnsi="宋体"/>
          <w:color w:val="auto"/>
          <w:sz w:val="24"/>
          <w:highlight w:val="none"/>
        </w:rPr>
        <w:t xml:space="preserve">7．硬件设备损坏需要更换、维修时，须经采购人工作人员确认，更换硬件费用需和采购人协商确定，不得收取服务费。如果在原厂质保期内，供应商须直接向原厂报修更换。</w:t>
      </w:r>
      <w:r/>
    </w:p>
    <w:p>
      <w:pPr>
        <w:ind w:firstLine="570"/>
        <w:spacing w:line="360" w:lineRule="auto"/>
        <w:rPr>
          <w:rFonts w:ascii="宋体" w:hAnsi="宋体"/>
          <w:color w:val="auto"/>
          <w:sz w:val="24"/>
          <w:highlight w:val="none"/>
        </w:rPr>
      </w:pPr>
      <w:r>
        <w:rPr>
          <w:rFonts w:hint="eastAsia" w:ascii="宋体" w:hAnsi="宋体"/>
          <w:color w:val="auto"/>
          <w:sz w:val="24"/>
          <w:highlight w:val="none"/>
        </w:rPr>
        <w:t xml:space="preserve">8．供应商不得为用户安装与业务经办无关的软件。配合</w:t>
      </w:r>
      <w:r>
        <w:rPr>
          <w:rFonts w:ascii="宋体" w:hAnsi="宋体"/>
          <w:color w:val="auto"/>
          <w:sz w:val="24"/>
          <w:highlight w:val="none"/>
        </w:rPr>
        <w:t xml:space="preserve">采购人</w:t>
      </w:r>
      <w:r>
        <w:rPr>
          <w:rFonts w:hint="eastAsia" w:ascii="宋体" w:hAnsi="宋体"/>
          <w:color w:val="auto"/>
          <w:sz w:val="24"/>
          <w:highlight w:val="none"/>
        </w:rPr>
        <w:t xml:space="preserve">收集反馈由操作人员自行安装且影响设备性能和安全的应用。</w:t>
      </w:r>
      <w:r/>
    </w:p>
    <w:p>
      <w:pPr>
        <w:jc w:val="left"/>
        <w:spacing w:line="440" w:lineRule="exact"/>
        <w:rPr>
          <w:rFonts w:ascii="宋体" w:hAnsi="宋体"/>
          <w:b/>
          <w:color w:val="auto"/>
          <w:sz w:val="24"/>
          <w:highlight w:val="none"/>
        </w:rPr>
      </w:pPr>
      <w:r>
        <w:rPr>
          <w:rFonts w:ascii="宋体" w:hAnsi="宋体"/>
          <w:b/>
          <w:color w:val="auto"/>
          <w:sz w:val="24"/>
          <w:highlight w:val="none"/>
        </w:rPr>
      </w:r>
      <w:r/>
    </w:p>
    <w:p>
      <w:pPr>
        <w:spacing w:line="360" w:lineRule="auto"/>
        <w:rPr>
          <w:rFonts w:hint="eastAsia" w:ascii="宋体" w:hAnsi="宋体"/>
          <w:color w:val="auto"/>
          <w:sz w:val="24"/>
          <w:highlight w:val="none"/>
          <w:lang w:val="en-US" w:eastAsia="zh-CN"/>
        </w:rPr>
      </w:pPr>
      <w:r>
        <w:rPr>
          <w:rFonts w:hint="eastAsia" w:ascii="宋体" w:hAnsi="宋体"/>
          <w:b/>
          <w:color w:val="auto"/>
          <w:sz w:val="24"/>
          <w:highlight w:val="none"/>
          <w:lang w:val="en-US" w:eastAsia="zh-CN"/>
        </w:rPr>
        <w:t xml:space="preserve">4</w:t>
      </w:r>
      <w:r>
        <w:rPr>
          <w:rFonts w:hint="eastAsia" w:ascii="宋体" w:hAnsi="宋体"/>
          <w:b/>
          <w:color w:val="auto"/>
          <w:sz w:val="24"/>
          <w:highlight w:val="none"/>
        </w:rPr>
        <w:t xml:space="preserve">.4</w:t>
      </w:r>
      <w:r>
        <w:rPr>
          <w:rFonts w:ascii="宋体" w:hAnsi="宋体"/>
          <w:b/>
          <w:color w:val="auto"/>
          <w:sz w:val="24"/>
          <w:highlight w:val="none"/>
        </w:rPr>
        <w:t xml:space="preserve">核心</w:t>
      </w:r>
      <w:r>
        <w:rPr>
          <w:rFonts w:hint="eastAsia" w:ascii="宋体" w:hAnsi="宋体"/>
          <w:b/>
          <w:color w:val="auto"/>
          <w:sz w:val="24"/>
          <w:highlight w:val="none"/>
        </w:rPr>
        <w:t xml:space="preserve">网络及安全</w:t>
      </w:r>
      <w:r>
        <w:rPr>
          <w:rFonts w:hint="eastAsia" w:ascii="宋体" w:hAnsi="宋体"/>
          <w:b/>
          <w:color w:val="auto"/>
          <w:sz w:val="24"/>
          <w:highlight w:val="none"/>
          <w:lang w:val="en-US" w:eastAsia="zh-CN"/>
        </w:rPr>
        <w:t xml:space="preserve">维保</w:t>
      </w:r>
      <w:r>
        <w:rPr>
          <w:rFonts w:ascii="宋体" w:hAnsi="宋体"/>
          <w:b/>
          <w:color w:val="auto"/>
          <w:sz w:val="24"/>
          <w:highlight w:val="none"/>
        </w:rPr>
        <w:t xml:space="preserve">服务</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采购人核心机房软硬件设备使用年限较长，为保障业务系统在不中断的前提下稳定、安全运行，现需对《核心机房软硬件设备维保清单》中所列设备购买维保服务，具体要求如下：</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1.供应商须为清单中的设备，提供由设备原厂实施的维保服务，服务范围包括但不限于软件授权许可更新、软件版本升级、安全规则库更新、硬件故障维修及备件更换等。</w:t>
      </w:r>
      <w:r/>
    </w:p>
    <w:p>
      <w:pPr>
        <w:ind w:firstLine="480"/>
        <w:spacing w:line="360" w:lineRule="auto"/>
        <w:rPr>
          <w:color w:val="auto"/>
          <w:highlight w:val="none"/>
        </w:rPr>
      </w:pPr>
      <w:r>
        <w:rPr>
          <w:rFonts w:hint="eastAsia" w:ascii="宋体" w:hAnsi="宋体"/>
          <w:color w:val="auto"/>
          <w:sz w:val="24"/>
          <w:highlight w:val="none"/>
          <w:lang w:val="en-US" w:eastAsia="zh-CN"/>
        </w:rPr>
        <w:t xml:space="preserve">2.</w:t>
      </w:r>
      <w:r>
        <w:rPr>
          <w:rFonts w:ascii="宋体" w:hAnsi="宋体" w:eastAsia="宋体" w:cs="宋体"/>
          <w:color w:val="auto"/>
          <w:sz w:val="24"/>
          <w:szCs w:val="24"/>
          <w:highlight w:val="none"/>
        </w:rPr>
        <w:t xml:space="preserve">供应商对八楼机房及各楼层弱电间所有网络设备提供专业维保服务，服务范围包含但不限于楼层交换机、配套链路及相关辅材线材，保障</w:t>
      </w:r>
      <w:r>
        <w:rPr>
          <w:rFonts w:hint="eastAsia" w:ascii="宋体" w:hAnsi="宋体" w:cs="宋体"/>
          <w:color w:val="auto"/>
          <w:sz w:val="24"/>
          <w:szCs w:val="24"/>
          <w:highlight w:val="none"/>
          <w:lang w:val="en-US" w:eastAsia="zh-CN"/>
        </w:rPr>
        <w:t xml:space="preserve">主机房与</w:t>
      </w:r>
      <w:r>
        <w:rPr>
          <w:rFonts w:ascii="宋体" w:hAnsi="宋体" w:eastAsia="宋体" w:cs="宋体"/>
          <w:color w:val="auto"/>
          <w:sz w:val="24"/>
          <w:szCs w:val="24"/>
          <w:highlight w:val="none"/>
        </w:rPr>
        <w:t xml:space="preserve">各楼层内网、外网系统持续稳定、安全可靠运行。</w:t>
      </w:r>
      <w:r/>
    </w:p>
    <w:p>
      <w:pPr>
        <w:ind w:firstLine="480"/>
        <w:spacing w:line="360" w:lineRule="auto"/>
        <w:rPr>
          <w:rFonts w:hint="default" w:ascii="宋体" w:hAnsi="宋体"/>
          <w:color w:val="auto"/>
          <w:sz w:val="24"/>
          <w:highlight w:val="none"/>
          <w:lang w:val="en-US" w:eastAsia="zh-CN"/>
        </w:rPr>
      </w:pPr>
      <w:r>
        <w:rPr>
          <w:rFonts w:hint="default" w:ascii="宋体" w:hAnsi="宋体"/>
          <w:color w:val="auto"/>
          <w:sz w:val="24"/>
          <w:highlight w:val="none"/>
          <w:lang w:val="en-US" w:eastAsia="zh-CN"/>
        </w:rPr>
      </w:r>
      <w:r/>
    </w:p>
    <w:p>
      <w:pPr>
        <w:spacing w:line="440" w:lineRule="exact"/>
        <w:rPr>
          <w:rFonts w:ascii="宋体" w:hAnsi="宋体"/>
          <w:b/>
          <w:color w:val="auto"/>
          <w:sz w:val="24"/>
          <w:highlight w:val="none"/>
        </w:rPr>
        <w:outlineLvl w:val="0"/>
      </w:pPr>
      <w:r>
        <w:rPr>
          <w:rFonts w:hint="eastAsia" w:ascii="宋体" w:hAnsi="宋体"/>
          <w:b/>
          <w:color w:val="auto"/>
          <w:sz w:val="24"/>
          <w:highlight w:val="none"/>
          <w:lang w:eastAsia="zh-CN"/>
        </w:rPr>
        <w:t xml:space="preserve">五</w:t>
      </w:r>
      <w:r>
        <w:rPr>
          <w:rFonts w:hint="eastAsia" w:ascii="宋体" w:hAnsi="宋体"/>
          <w:b/>
          <w:color w:val="auto"/>
          <w:sz w:val="24"/>
          <w:highlight w:val="none"/>
        </w:rPr>
        <w:t xml:space="preserve">、维保设备明细</w:t>
      </w:r>
      <w:r/>
    </w:p>
    <w:p>
      <w:pPr>
        <w:jc w:val="left"/>
        <w:spacing w:line="440" w:lineRule="exact"/>
        <w:rPr>
          <w:rFonts w:ascii="宋体" w:hAnsi="宋体"/>
          <w:b/>
          <w:color w:val="auto"/>
          <w:sz w:val="24"/>
          <w:highlight w:val="none"/>
        </w:rPr>
      </w:pPr>
      <w:r>
        <w:rPr>
          <w:rFonts w:hint="eastAsia" w:ascii="宋体" w:hAnsi="宋体"/>
          <w:b/>
          <w:color w:val="auto"/>
          <w:sz w:val="24"/>
          <w:highlight w:val="none"/>
        </w:rPr>
        <w:t xml:space="preserve">（一）核心机房</w:t>
      </w:r>
      <w:r>
        <w:rPr>
          <w:rFonts w:ascii="宋体" w:hAnsi="宋体"/>
          <w:b/>
          <w:color w:val="auto"/>
          <w:sz w:val="24"/>
          <w:highlight w:val="none"/>
        </w:rPr>
        <w:t xml:space="preserve">软硬件</w:t>
      </w:r>
      <w:r>
        <w:rPr>
          <w:rFonts w:hint="eastAsia" w:ascii="宋体" w:hAnsi="宋体"/>
          <w:b/>
          <w:color w:val="auto"/>
          <w:sz w:val="24"/>
          <w:highlight w:val="none"/>
        </w:rPr>
        <w:t xml:space="preserve">设备</w:t>
      </w:r>
      <w:r>
        <w:rPr>
          <w:rFonts w:ascii="宋体" w:hAnsi="宋体"/>
          <w:b/>
          <w:color w:val="auto"/>
          <w:sz w:val="24"/>
          <w:highlight w:val="none"/>
        </w:rPr>
        <w:t xml:space="preserve">维保</w:t>
      </w:r>
      <w:r>
        <w:rPr>
          <w:rFonts w:hint="eastAsia" w:ascii="宋体" w:hAnsi="宋体"/>
          <w:b/>
          <w:color w:val="auto"/>
          <w:sz w:val="24"/>
          <w:highlight w:val="none"/>
        </w:rPr>
        <w:t xml:space="preserve">清单</w:t>
      </w:r>
      <w:r/>
    </w:p>
    <w:tbl>
      <w:tblPr>
        <w:tblStyle w:val="663"/>
        <w:tblW w:w="8398" w:type="dxa"/>
        <w:jc w:val="center"/>
        <w:tblLayout w:type="autofit"/>
        <w:tblCellMar>
          <w:left w:w="108" w:type="dxa"/>
          <w:top w:w="0" w:type="dxa"/>
          <w:right w:w="108" w:type="dxa"/>
          <w:bottom w:w="0" w:type="dxa"/>
        </w:tblCellMar>
        <w:tblLook w:val="04A0" w:firstRow="1" w:lastRow="0" w:firstColumn="1" w:lastColumn="0" w:noHBand="0" w:noVBand="1"/>
      </w:tblPr>
      <w:tblGrid>
        <w:gridCol w:w="885"/>
        <w:gridCol w:w="1960"/>
        <w:gridCol w:w="2946"/>
        <w:gridCol w:w="782"/>
        <w:gridCol w:w="782"/>
        <w:gridCol w:w="1043"/>
      </w:tblGrid>
      <w:tr>
        <w:trPr>
          <w:jc w:val="center"/>
          <w:trHeight w:val="870"/>
        </w:trPr>
        <w:tc>
          <w:tcPr>
            <w:shd w:val="clear" w:color="auto" w:fill="auto"/>
            <w:tcBorders>
              <w:top w:val="single" w:color="auto" w:sz="8" w:space="0"/>
              <w:left w:val="single" w:color="auto" w:sz="8" w:space="0"/>
              <w:bottom w:val="single" w:color="auto" w:sz="8" w:space="0"/>
              <w:right w:val="single" w:color="auto" w:sz="8" w:space="0"/>
            </w:tcBorders>
            <w:tcW w:w="88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shd w:val="clear" w:color="auto" w:fill="auto"/>
            <w:tcBorders>
              <w:top w:val="single" w:color="auto" w:sz="8"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设备及维保服务要求</w:t>
            </w:r>
            <w:r/>
          </w:p>
        </w:tc>
        <w:tc>
          <w:tcPr>
            <w:shd w:val="clear" w:color="auto" w:fill="auto"/>
            <w:tcBorders>
              <w:top w:val="single" w:color="auto" w:sz="8"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产品配置</w:t>
            </w:r>
            <w:r/>
          </w:p>
        </w:tc>
        <w:tc>
          <w:tcPr>
            <w:shd w:val="clear" w:color="auto" w:fill="auto"/>
            <w:tcBorders>
              <w:top w:val="single" w:color="auto" w:sz="8"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shd w:val="clear" w:color="auto" w:fill="auto"/>
            <w:tcBorders>
              <w:top w:val="single" w:color="auto" w:sz="8"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shd w:val="clear" w:color="auto" w:fill="auto"/>
            <w:tcBorders>
              <w:top w:val="single" w:color="auto" w:sz="8"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品牌</w:t>
            </w:r>
            <w:r/>
          </w:p>
        </w:tc>
      </w:tr>
      <w:tr>
        <w:trPr>
          <w:jc w:val="center"/>
          <w:trHeight w:val="780"/>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人社专网</w:t>
            </w:r>
            <w:r>
              <w:rPr>
                <w:rFonts w:hint="eastAsia" w:ascii="宋体" w:hAnsi="宋体" w:cs="宋体"/>
                <w:color w:val="auto"/>
                <w:szCs w:val="21"/>
                <w:highlight w:val="none"/>
              </w:rPr>
              <w:t xml:space="preserve">服务器汇聚交换机1</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H3C S5820V2-52QF L3以太网交换机</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H3C</w:t>
            </w:r>
            <w:r/>
          </w:p>
        </w:tc>
      </w:tr>
      <w:tr>
        <w:trPr>
          <w:jc w:val="center"/>
          <w:trHeight w:val="780"/>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人社专网</w:t>
            </w:r>
            <w:r>
              <w:rPr>
                <w:rFonts w:hint="eastAsia" w:ascii="宋体" w:hAnsi="宋体" w:cs="宋体"/>
                <w:color w:val="auto"/>
                <w:szCs w:val="21"/>
                <w:highlight w:val="none"/>
              </w:rPr>
              <w:t xml:space="preserve">服务器汇聚交换机2</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H3C S5800-56C L3以太网交换机</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H3C</w:t>
            </w:r>
            <w:r/>
          </w:p>
        </w:tc>
      </w:tr>
      <w:tr>
        <w:trPr>
          <w:jc w:val="center"/>
          <w:trHeight w:val="1665"/>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3</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人社专网</w:t>
            </w:r>
            <w:r>
              <w:rPr>
                <w:rFonts w:hint="eastAsia" w:ascii="宋体" w:hAnsi="宋体" w:cs="宋体"/>
                <w:color w:val="auto"/>
                <w:szCs w:val="21"/>
                <w:highlight w:val="none"/>
                <w:lang w:val="en-US" w:eastAsia="zh-CN"/>
              </w:rPr>
              <w:t xml:space="preserve">核心交换机</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H3C S10508-V 以太网交换机</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H3C</w:t>
            </w:r>
            <w:r/>
          </w:p>
        </w:tc>
      </w:tr>
      <w:tr>
        <w:trPr>
          <w:jc w:val="center"/>
          <w:trHeight w:val="780"/>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4</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人社专网</w:t>
            </w:r>
            <w:r>
              <w:rPr>
                <w:rFonts w:hint="eastAsia" w:ascii="宋体" w:hAnsi="宋体" w:cs="宋体"/>
                <w:color w:val="auto"/>
                <w:szCs w:val="21"/>
                <w:highlight w:val="none"/>
              </w:rPr>
              <w:t xml:space="preserve">楼层汇聚交换机</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H3C S5800-32F L3以太网交换机</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H3C</w:t>
            </w:r>
            <w:r/>
          </w:p>
        </w:tc>
      </w:tr>
      <w:tr>
        <w:trPr>
          <w:jc w:val="center"/>
          <w:trHeight w:val="1035"/>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5</w:t>
            </w:r>
            <w:r/>
          </w:p>
        </w:tc>
        <w:tc>
          <w:tcPr>
            <w:shd w:val="clear" w:color="auto" w:fill="auto"/>
            <w:tcBorders>
              <w:top w:val="none" w:color="000000" w:sz="4" w:space="0"/>
              <w:left w:val="single" w:color="auto" w:sz="8" w:space="0"/>
              <w:bottom w:val="single" w:color="auto" w:sz="8" w:space="0"/>
              <w:right w:val="single" w:color="auto" w:sz="8" w:space="0"/>
            </w:tcBorders>
            <w:tcW w:w="1960"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人社专网</w:t>
            </w:r>
            <w:r>
              <w:rPr>
                <w:rFonts w:hint="eastAsia" w:ascii="宋体" w:hAnsi="宋体" w:cs="宋体"/>
                <w:color w:val="auto"/>
                <w:szCs w:val="21"/>
                <w:highlight w:val="none"/>
              </w:rPr>
              <w:t xml:space="preserve">楼层接入交换机</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H3C S5120S-28P-EI,L2以太网交换机主机,24个10/100/1000BASE-T,4个 SFP,支持AC110/220V</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H3C</w:t>
            </w:r>
            <w:r/>
          </w:p>
        </w:tc>
      </w:tr>
      <w:tr>
        <w:trPr>
          <w:jc w:val="center"/>
          <w:trHeight w:val="525"/>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6</w:t>
            </w:r>
            <w:r/>
          </w:p>
        </w:tc>
        <w:tc>
          <w:tcPr>
            <w:tcBorders>
              <w:top w:val="none" w:color="000000" w:sz="4" w:space="0"/>
              <w:left w:val="single" w:color="auto" w:sz="8" w:space="0"/>
              <w:bottom w:val="single" w:color="auto" w:sz="8" w:space="0"/>
              <w:right w:val="single" w:color="auto" w:sz="8" w:space="0"/>
            </w:tcBorders>
            <w:tcW w:w="1960"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SFP堆叠电缆-（150cm，含堆叠模块）</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块</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18</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H3C</w:t>
            </w:r>
            <w:r/>
          </w:p>
        </w:tc>
      </w:tr>
      <w:tr>
        <w:trPr>
          <w:jc w:val="center"/>
          <w:trHeight w:val="525"/>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7</w:t>
            </w:r>
            <w:r/>
          </w:p>
        </w:tc>
        <w:tc>
          <w:tcPr>
            <w:tcBorders>
              <w:top w:val="none" w:color="000000" w:sz="4" w:space="0"/>
              <w:left w:val="single" w:color="auto" w:sz="8" w:space="0"/>
              <w:bottom w:val="single" w:color="auto" w:sz="8" w:space="0"/>
              <w:right w:val="single" w:color="auto" w:sz="8" w:space="0"/>
            </w:tcBorders>
            <w:tcW w:w="1960"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光模块-SFP-GE-多模模块-(850nm,0.55km,LC)</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18</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H3C</w:t>
            </w:r>
            <w:r/>
          </w:p>
        </w:tc>
      </w:tr>
      <w:tr>
        <w:trPr>
          <w:jc w:val="center"/>
          <w:trHeight w:val="525"/>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8</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人社专网</w:t>
            </w:r>
            <w:r>
              <w:rPr>
                <w:rFonts w:hint="eastAsia" w:ascii="宋体" w:hAnsi="宋体" w:cs="宋体"/>
                <w:color w:val="auto"/>
                <w:szCs w:val="21"/>
                <w:highlight w:val="none"/>
              </w:rPr>
              <w:t xml:space="preserve">网络管理系统</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H3C iMC-智能管理平台标准版</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H3C</w:t>
            </w:r>
            <w:r/>
          </w:p>
        </w:tc>
      </w:tr>
      <w:tr>
        <w:trPr>
          <w:jc w:val="center"/>
          <w:trHeight w:val="2565"/>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9</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人社专网</w:t>
            </w:r>
            <w:r>
              <w:rPr>
                <w:rFonts w:hint="eastAsia" w:ascii="宋体" w:hAnsi="宋体" w:cs="宋体"/>
                <w:color w:val="auto"/>
                <w:szCs w:val="21"/>
                <w:highlight w:val="none"/>
              </w:rPr>
              <w:t xml:space="preserve">终端准入控制系统</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ASM6303；500点授权；1U机架结构；单电源;标准配置6个1000MBASE-T接口; 每秒事务数(TPS):≥1000(次/秒)，最大吞吐量:≥500Mbps，最大并发连接数:1000(条); 包括身份认证模块、访问控制模块、安全检查及智能修复模块、补丁库及规范更新模块</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盈高</w:t>
            </w:r>
            <w:r/>
          </w:p>
        </w:tc>
      </w:tr>
      <w:tr>
        <w:trPr>
          <w:jc w:val="center"/>
          <w:trHeight w:val="5115"/>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0</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人社专网</w:t>
            </w:r>
            <w:r>
              <w:rPr>
                <w:rFonts w:hint="eastAsia" w:ascii="宋体" w:hAnsi="宋体" w:cs="宋体"/>
                <w:color w:val="auto"/>
                <w:szCs w:val="21"/>
                <w:highlight w:val="none"/>
              </w:rPr>
              <w:t xml:space="preserve">服务器负载均衡</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APV 4600 AppVelocity Dual AC (16GB, 12 copper / 4 SFP (SX Fiber incl.) switch, 2U, 6 Gbps throughput)；APV 4600 Feature Option: Global Server Load Balancing License；APV 4600 Featu</w:t>
            </w:r>
            <w:r>
              <w:rPr>
                <w:rFonts w:hint="eastAsia" w:ascii="宋体" w:hAnsi="宋体" w:cs="宋体"/>
                <w:color w:val="auto"/>
                <w:szCs w:val="21"/>
                <w:highlight w:val="none"/>
              </w:rPr>
              <w:t xml:space="preserve">re Option: Link Load Balancing License；APV 4600 Feature Option: Traffic Shaping Management License；APV 4600Feature Option: Dynamic Routing (incl. RIP and OSPF) License；APV 4600Feature Option:  L7 SLB, Caching &amp; Compression License；APV4600: SSL License &amp; HW</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ARRAY</w:t>
            </w:r>
            <w:r/>
          </w:p>
        </w:tc>
      </w:tr>
      <w:tr>
        <w:trPr>
          <w:jc w:val="center"/>
          <w:trHeight w:val="2820"/>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人社专网</w:t>
            </w:r>
            <w:r>
              <w:rPr>
                <w:rFonts w:hint="eastAsia" w:ascii="宋体" w:hAnsi="宋体" w:cs="宋体"/>
                <w:color w:val="auto"/>
                <w:szCs w:val="21"/>
                <w:highlight w:val="none"/>
              </w:rPr>
              <w:t xml:space="preserve">万兆防火墙</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NGFW4000-UF TG-62242。2U机箱；4个可拔插的扩展槽，支持扩展到32个独立网口。双电源。配置2个10/100/1000 BASE-T接口，配置2块万兆接口扩展卡：2个SFP+插槽。配置4块万兆多模光口SFP+模块（850nm,300m,LC)；整机吞吐量：＞26Gbps，最大并发连接数：＞450W。</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天融信</w:t>
            </w:r>
            <w:r/>
          </w:p>
        </w:tc>
      </w:tr>
      <w:tr>
        <w:trPr>
          <w:jc w:val="center"/>
          <w:trHeight w:val="1665"/>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人社专网</w:t>
            </w:r>
            <w:r>
              <w:rPr>
                <w:rFonts w:hint="eastAsia" w:ascii="宋体" w:hAnsi="宋体" w:cs="宋体"/>
                <w:color w:val="auto"/>
                <w:szCs w:val="21"/>
                <w:highlight w:val="none"/>
              </w:rPr>
              <w:t xml:space="preserve">边界下一代防火墙</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F1070，1个配置口（CON），主机自带8个千兆光口+16个千兆电口+2个万兆光口，2个扩展槽，4千兆PFC接口模块，4千兆光接口模块，4个10GE光接口模块</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H3C</w:t>
            </w:r>
            <w:r/>
          </w:p>
        </w:tc>
      </w:tr>
      <w:tr>
        <w:trPr>
          <w:jc w:val="center"/>
          <w:trHeight w:val="1290"/>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3</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人社专网</w:t>
            </w:r>
            <w:r>
              <w:rPr>
                <w:rFonts w:hint="eastAsia" w:ascii="宋体" w:hAnsi="宋体" w:cs="宋体"/>
                <w:color w:val="auto"/>
                <w:szCs w:val="21"/>
                <w:highlight w:val="none"/>
              </w:rPr>
              <w:t xml:space="preserve">网络审计系统</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TopAudit TA-11424-NET。2U机架式，4个SFP插槽和6个10/100/1000BASE-TX管理口，1T存储空间,双电源。吞吐率≥2.5Gbps。</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天融信</w:t>
            </w:r>
            <w:r/>
          </w:p>
        </w:tc>
      </w:tr>
      <w:tr>
        <w:trPr>
          <w:jc w:val="center"/>
          <w:trHeight w:val="1800"/>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4</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人社专网</w:t>
            </w:r>
            <w:r>
              <w:rPr>
                <w:rFonts w:hint="eastAsia" w:ascii="宋体" w:hAnsi="宋体" w:cs="宋体"/>
                <w:color w:val="auto"/>
                <w:szCs w:val="21"/>
                <w:highlight w:val="none"/>
              </w:rPr>
              <w:t xml:space="preserve">数据库审计系统</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TopAudit TA-11424-DB。2U机架式，4个SFP插槽和6个10/100/1000BASE-TX管理口，1T存储空间,双电源。记录事件数≥80000条/秒；总记录事件≥23亿条；可审计并发数据库用户数≥ 2500。</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天融信</w:t>
            </w:r>
            <w:r/>
          </w:p>
        </w:tc>
      </w:tr>
      <w:tr>
        <w:trPr>
          <w:jc w:val="center"/>
          <w:trHeight w:val="1800"/>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5</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人社专网</w:t>
            </w:r>
            <w:r>
              <w:rPr>
                <w:rFonts w:hint="eastAsia" w:ascii="宋体" w:hAnsi="宋体" w:cs="宋体"/>
                <w:color w:val="auto"/>
                <w:szCs w:val="21"/>
                <w:highlight w:val="none"/>
              </w:rPr>
              <w:t xml:space="preserve">漏洞扫描系统</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RSASNX3-S，RSAS S-C引擎模块- 1U，含冗余交流电源，4个100M/1000M自适应以太网电口，一个RJ45管理口，并发60IP扫描，支持无限个IP地址扫描，三年漏洞库升级授权及硬件质保服务。</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绿盟</w:t>
            </w:r>
            <w:r/>
          </w:p>
        </w:tc>
      </w:tr>
      <w:tr>
        <w:trPr>
          <w:jc w:val="center"/>
          <w:trHeight w:val="1095"/>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6</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人社专网</w:t>
            </w:r>
            <w:r>
              <w:rPr>
                <w:rFonts w:hint="eastAsia" w:ascii="宋体" w:hAnsi="宋体" w:cs="宋体"/>
                <w:color w:val="auto"/>
                <w:szCs w:val="21"/>
                <w:highlight w:val="none"/>
              </w:rPr>
              <w:t xml:space="preserve">安全管理平台</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天融信安全管理系统TA-EX</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天融信</w:t>
            </w:r>
            <w:r/>
          </w:p>
        </w:tc>
      </w:tr>
      <w:tr>
        <w:trPr>
          <w:jc w:val="center"/>
          <w:trHeight w:val="1035"/>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7</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人社专网</w:t>
            </w:r>
            <w:r>
              <w:rPr>
                <w:rFonts w:hint="eastAsia" w:ascii="宋体" w:hAnsi="宋体" w:cs="宋体"/>
                <w:color w:val="auto"/>
                <w:szCs w:val="21"/>
                <w:highlight w:val="none"/>
              </w:rPr>
              <w:t xml:space="preserve">系统运维设备</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APM4200（4G内存；500G硬盘；6个千兆电口；支持BYPASS;标准1U尺寸；单电源）</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深信服</w:t>
            </w:r>
            <w:r/>
          </w:p>
        </w:tc>
      </w:tr>
      <w:tr>
        <w:trPr>
          <w:jc w:val="center"/>
          <w:trHeight w:val="525"/>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8</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互联网</w:t>
            </w:r>
            <w:r>
              <w:rPr>
                <w:rFonts w:hint="eastAsia" w:ascii="宋体" w:hAnsi="宋体" w:cs="宋体"/>
                <w:color w:val="auto"/>
                <w:szCs w:val="21"/>
                <w:highlight w:val="none"/>
              </w:rPr>
              <w:t xml:space="preserve">核心交换机</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H3C S7503E 以太网交换机</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H3C</w:t>
            </w:r>
            <w:r/>
          </w:p>
        </w:tc>
      </w:tr>
      <w:tr>
        <w:trPr>
          <w:jc w:val="center"/>
          <w:trHeight w:val="780"/>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19</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互联网</w:t>
            </w:r>
            <w:r>
              <w:rPr>
                <w:rFonts w:hint="eastAsia" w:ascii="宋体" w:hAnsi="宋体" w:cs="宋体"/>
                <w:color w:val="auto"/>
                <w:szCs w:val="21"/>
                <w:highlight w:val="none"/>
              </w:rPr>
              <w:t xml:space="preserve">服务器汇聚交换机</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H3C S5830V2-24S 以太网交换机</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H3C</w:t>
            </w:r>
            <w:r/>
          </w:p>
        </w:tc>
      </w:tr>
      <w:tr>
        <w:trPr>
          <w:jc w:val="center"/>
          <w:trHeight w:val="780"/>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2</w:t>
            </w:r>
            <w:r>
              <w:rPr>
                <w:rFonts w:hint="eastAsia" w:ascii="宋体" w:hAnsi="宋体" w:cs="宋体"/>
                <w:color w:val="auto"/>
                <w:sz w:val="22"/>
                <w:szCs w:val="22"/>
                <w:highlight w:val="none"/>
                <w:lang w:val="en-US" w:eastAsia="zh-CN"/>
              </w:rPr>
              <w:t xml:space="preserve">0</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互联网</w:t>
            </w:r>
            <w:r>
              <w:rPr>
                <w:rFonts w:hint="eastAsia" w:ascii="宋体" w:hAnsi="宋体" w:cs="宋体"/>
                <w:color w:val="auto"/>
                <w:szCs w:val="21"/>
                <w:highlight w:val="none"/>
              </w:rPr>
              <w:t xml:space="preserve">楼层汇聚交换机</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H3C S5800-32F L3以太网交换机</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H3C</w:t>
            </w:r>
            <w:r/>
          </w:p>
        </w:tc>
      </w:tr>
      <w:tr>
        <w:trPr>
          <w:jc w:val="center"/>
          <w:trHeight w:val="780"/>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2</w:t>
            </w:r>
            <w:r>
              <w:rPr>
                <w:rFonts w:hint="eastAsia" w:ascii="宋体" w:hAnsi="宋体" w:cs="宋体"/>
                <w:color w:val="auto"/>
                <w:sz w:val="22"/>
                <w:szCs w:val="22"/>
                <w:highlight w:val="none"/>
                <w:lang w:val="en-US" w:eastAsia="zh-CN"/>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互联网</w:t>
            </w:r>
            <w:r>
              <w:rPr>
                <w:rFonts w:hint="eastAsia" w:ascii="宋体" w:hAnsi="宋体" w:cs="宋体"/>
                <w:color w:val="auto"/>
                <w:szCs w:val="21"/>
                <w:highlight w:val="none"/>
              </w:rPr>
              <w:t xml:space="preserve">POE交换机</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H3C S5110-28P-PWR 以太网交换机主机(24GE+4SFP+PoE,交直流双路供电)</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H3C</w:t>
            </w:r>
            <w:r/>
          </w:p>
        </w:tc>
      </w:tr>
      <w:tr>
        <w:trPr>
          <w:jc w:val="center"/>
          <w:trHeight w:val="525"/>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2</w:t>
            </w:r>
            <w:r>
              <w:rPr>
                <w:rFonts w:hint="eastAsia" w:ascii="宋体" w:hAnsi="宋体" w:cs="宋体"/>
                <w:color w:val="auto"/>
                <w:sz w:val="22"/>
                <w:szCs w:val="22"/>
                <w:highlight w:val="none"/>
                <w:lang w:val="en-US" w:eastAsia="zh-CN"/>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互联网</w:t>
            </w:r>
            <w:r>
              <w:rPr>
                <w:rFonts w:hint="eastAsia" w:ascii="宋体" w:hAnsi="宋体" w:cs="宋体"/>
                <w:color w:val="auto"/>
                <w:szCs w:val="21"/>
                <w:highlight w:val="none"/>
              </w:rPr>
              <w:t xml:space="preserve">网络管理系统</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H3C iMC-智能管理平台标准版</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H3C</w:t>
            </w:r>
            <w:r/>
          </w:p>
        </w:tc>
      </w:tr>
      <w:tr>
        <w:trPr>
          <w:jc w:val="center"/>
          <w:trHeight w:val="780"/>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2</w:t>
            </w:r>
            <w:r>
              <w:rPr>
                <w:rFonts w:hint="eastAsia" w:ascii="宋体" w:hAnsi="宋体" w:cs="宋体"/>
                <w:color w:val="auto"/>
                <w:sz w:val="22"/>
                <w:szCs w:val="22"/>
                <w:highlight w:val="none"/>
                <w:lang w:val="en-US" w:eastAsia="zh-CN"/>
              </w:rPr>
              <w:t xml:space="preserve">3</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互联网</w:t>
            </w:r>
            <w:r>
              <w:rPr>
                <w:rFonts w:hint="eastAsia" w:ascii="宋体" w:hAnsi="宋体" w:cs="宋体"/>
                <w:color w:val="auto"/>
                <w:szCs w:val="21"/>
                <w:highlight w:val="none"/>
              </w:rPr>
              <w:t xml:space="preserve">AP</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H3C WA4320H-ACN-802.11ac无线局域网面板型双频接入点-FIT</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50</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H3C</w:t>
            </w:r>
            <w:r/>
          </w:p>
        </w:tc>
      </w:tr>
      <w:tr>
        <w:trPr>
          <w:jc w:val="center"/>
          <w:trHeight w:val="525"/>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2</w:t>
            </w:r>
            <w:r>
              <w:rPr>
                <w:rFonts w:hint="eastAsia" w:ascii="宋体" w:hAnsi="宋体" w:cs="宋体"/>
                <w:color w:val="auto"/>
                <w:sz w:val="22"/>
                <w:szCs w:val="22"/>
                <w:highlight w:val="none"/>
                <w:lang w:val="en-US" w:eastAsia="zh-CN"/>
              </w:rPr>
              <w:t xml:space="preserve">4</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互联网</w:t>
            </w:r>
            <w:r>
              <w:rPr>
                <w:rFonts w:hint="eastAsia" w:ascii="宋体" w:hAnsi="宋体" w:cs="宋体"/>
                <w:color w:val="auto"/>
                <w:szCs w:val="21"/>
                <w:highlight w:val="none"/>
              </w:rPr>
              <w:t xml:space="preserve">无线管理系统</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H3C iMC-WSM无线业务管理组件</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H3C</w:t>
            </w:r>
            <w:r/>
          </w:p>
        </w:tc>
      </w:tr>
      <w:tr>
        <w:trPr>
          <w:jc w:val="center"/>
          <w:trHeight w:val="780"/>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2</w:t>
            </w:r>
            <w:r>
              <w:rPr>
                <w:rFonts w:hint="eastAsia" w:ascii="宋体" w:hAnsi="宋体" w:cs="宋体"/>
                <w:color w:val="auto"/>
                <w:sz w:val="22"/>
                <w:szCs w:val="22"/>
                <w:highlight w:val="none"/>
                <w:lang w:val="en-US" w:eastAsia="zh-CN"/>
              </w:rPr>
              <w:t xml:space="preserve">5</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互联网</w:t>
            </w:r>
            <w:r>
              <w:rPr>
                <w:rFonts w:hint="eastAsia" w:ascii="宋体" w:hAnsi="宋体" w:cs="宋体"/>
                <w:color w:val="auto"/>
                <w:szCs w:val="21"/>
                <w:highlight w:val="none"/>
              </w:rPr>
              <w:t xml:space="preserve">服务器负载均衡</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H3C SecPath L5000-C主机（自带有12个千兆光口、12个千兆电口以及4个万兆口）</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H3C</w:t>
            </w:r>
            <w:r/>
          </w:p>
        </w:tc>
      </w:tr>
      <w:tr>
        <w:trPr>
          <w:jc w:val="center"/>
          <w:trHeight w:val="1800"/>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2</w:t>
            </w:r>
            <w:r>
              <w:rPr>
                <w:rFonts w:hint="eastAsia" w:ascii="宋体" w:hAnsi="宋体" w:cs="宋体"/>
                <w:color w:val="auto"/>
                <w:sz w:val="22"/>
                <w:szCs w:val="22"/>
                <w:highlight w:val="none"/>
                <w:lang w:val="en-US" w:eastAsia="zh-CN"/>
              </w:rPr>
              <w:t xml:space="preserve">6</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互联网</w:t>
            </w:r>
            <w:r>
              <w:rPr>
                <w:rFonts w:hint="eastAsia" w:ascii="宋体" w:hAnsi="宋体" w:cs="宋体"/>
                <w:color w:val="auto"/>
                <w:szCs w:val="21"/>
                <w:highlight w:val="none"/>
              </w:rPr>
              <w:t xml:space="preserve">千兆防火墙</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NGFW4000-UF  TG-51131。2U机型，最大配置为26个接口，包括3个可插拨的扩展槽和。6个10/100/1000BASE-T和4个SFP插槽。整机吞吐量：＞12Gbps，最大并发连接数：＞300W。</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天融信</w:t>
            </w:r>
            <w:r/>
          </w:p>
        </w:tc>
      </w:tr>
      <w:tr>
        <w:trPr>
          <w:jc w:val="center"/>
          <w:trHeight w:val="2055"/>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2</w:t>
            </w:r>
            <w:r>
              <w:rPr>
                <w:rFonts w:hint="eastAsia" w:ascii="宋体" w:hAnsi="宋体" w:cs="宋体"/>
                <w:color w:val="auto"/>
                <w:sz w:val="22"/>
                <w:szCs w:val="22"/>
                <w:highlight w:val="none"/>
                <w:lang w:val="en-US" w:eastAsia="zh-CN"/>
              </w:rPr>
              <w:t xml:space="preserve">7</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互联网</w:t>
            </w:r>
            <w:r>
              <w:rPr>
                <w:rFonts w:hint="eastAsia" w:ascii="宋体" w:hAnsi="宋体" w:cs="宋体"/>
                <w:color w:val="auto"/>
                <w:szCs w:val="21"/>
                <w:highlight w:val="none"/>
              </w:rPr>
              <w:t xml:space="preserve">下一代防火墙</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SG-6000-A2700软硬件平台基本系统，含硬件保修、应用识别库升级和软件升级维护服务。硬件参数2×10GE + 8×GE(光) + 8×GE(电) + MGT，不带硬盘，硬盘另外下单；性能参数：吞吐10G，并发300万，新建13万。</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山石网科</w:t>
            </w:r>
            <w:r/>
          </w:p>
        </w:tc>
      </w:tr>
      <w:tr>
        <w:trPr>
          <w:jc w:val="center"/>
          <w:trHeight w:val="1545"/>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2</w:t>
            </w:r>
            <w:r>
              <w:rPr>
                <w:rFonts w:hint="eastAsia" w:ascii="宋体" w:hAnsi="宋体" w:cs="宋体"/>
                <w:color w:val="auto"/>
                <w:sz w:val="22"/>
                <w:szCs w:val="22"/>
                <w:highlight w:val="none"/>
                <w:lang w:val="en-US" w:eastAsia="zh-CN"/>
              </w:rPr>
              <w:t xml:space="preserve">8</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互联网</w:t>
            </w:r>
            <w:r>
              <w:rPr>
                <w:rFonts w:hint="eastAsia" w:ascii="宋体" w:hAnsi="宋体" w:cs="宋体"/>
                <w:color w:val="auto"/>
                <w:szCs w:val="21"/>
                <w:highlight w:val="none"/>
              </w:rPr>
              <w:t xml:space="preserve">WEB防护系统</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TopWAF TW-61214。2U机型，最大配置为12个接口，默认包括1个可插拨的扩展槽，4个10/100/1000BASE-T接口。双电源。并发连接&gt;140万，吞吐率&gt;1.8Gbps。</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天融信</w:t>
            </w:r>
            <w:r/>
          </w:p>
        </w:tc>
      </w:tr>
      <w:tr>
        <w:trPr>
          <w:jc w:val="center"/>
          <w:trHeight w:val="1290"/>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29</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互联网</w:t>
            </w:r>
            <w:r>
              <w:rPr>
                <w:rFonts w:hint="eastAsia" w:ascii="宋体" w:hAnsi="宋体" w:cs="宋体"/>
                <w:color w:val="auto"/>
                <w:szCs w:val="21"/>
                <w:highlight w:val="none"/>
              </w:rPr>
              <w:t xml:space="preserve">网络审计系统</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TopAudit TA-11424-NET。2U机架式，4个SFP插槽和6个10/100/1000BASE-TX管理口，1T存储空间,双电源。吞吐率≥2.5Gbps。</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天融信</w:t>
            </w:r>
            <w:r/>
          </w:p>
        </w:tc>
      </w:tr>
      <w:tr>
        <w:trPr>
          <w:jc w:val="center"/>
          <w:trHeight w:val="2820"/>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3</w:t>
            </w:r>
            <w:r>
              <w:rPr>
                <w:rFonts w:hint="eastAsia" w:ascii="宋体" w:hAnsi="宋体" w:cs="宋体"/>
                <w:color w:val="auto"/>
                <w:sz w:val="22"/>
                <w:szCs w:val="22"/>
                <w:highlight w:val="none"/>
                <w:lang w:val="en-US" w:eastAsia="zh-CN"/>
              </w:rPr>
              <w:t xml:space="preserve">0</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互联网</w:t>
            </w:r>
            <w:r>
              <w:rPr>
                <w:rFonts w:hint="eastAsia" w:ascii="宋体" w:hAnsi="宋体" w:cs="宋体"/>
                <w:color w:val="auto"/>
                <w:szCs w:val="21"/>
                <w:highlight w:val="none"/>
              </w:rPr>
              <w:t xml:space="preserve">网闸</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网御星云SIS3000-Z8100，2U机架型，冗余双电电源;12个10/100/1000M自适应电口，2个万兆光口；4个USB口；2个串口；吞吐量：10G，并发：60万。含有数据库同步模块、FTP文件传输模块、安全通道模块、消息传输模块、邮件传输模块、安全浏览模块、文件交换模块；含3年质保。</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网御星云</w:t>
            </w:r>
            <w:r/>
          </w:p>
        </w:tc>
      </w:tr>
      <w:tr>
        <w:trPr>
          <w:jc w:val="center"/>
          <w:trHeight w:val="1800"/>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互联网</w:t>
            </w:r>
            <w:r>
              <w:rPr>
                <w:rFonts w:hint="eastAsia" w:ascii="宋体" w:hAnsi="宋体" w:cs="宋体"/>
                <w:color w:val="auto"/>
                <w:szCs w:val="21"/>
                <w:highlight w:val="none"/>
              </w:rPr>
              <w:t xml:space="preserve">链路负载均衡</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深信服AD-2000（2Gbps吞吐性能；450万并发性能；10万4层新建性能；15万7层新建性能；支持SSL加速功能；默认网口配置：6个千兆电口，2个千兆光口；4G内存；500G硬盘；标准2U；单电源）</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深信服</w:t>
            </w:r>
            <w:r/>
          </w:p>
        </w:tc>
      </w:tr>
      <w:tr>
        <w:trPr>
          <w:jc w:val="center"/>
          <w:trHeight w:val="2310"/>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互联网</w:t>
            </w:r>
            <w:r>
              <w:rPr>
                <w:rFonts w:hint="eastAsia" w:ascii="宋体" w:hAnsi="宋体" w:cs="宋体"/>
                <w:color w:val="auto"/>
                <w:szCs w:val="21"/>
                <w:highlight w:val="none"/>
              </w:rPr>
              <w:t xml:space="preserve">SSL VPN设备</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深信服VPN-3150（SSL加密速度350Mbps；SSL并发用户数2000；SSL每秒新建用户数220；IPSEC加密速度385Mbps；IPSec VPN隧道数6400；防火墙吞吐量1.2Gbps；并发会话数130万；6个千兆电口；标准1U尺寸）</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深信服</w:t>
            </w:r>
            <w:r/>
          </w:p>
        </w:tc>
      </w:tr>
      <w:tr>
        <w:trPr>
          <w:jc w:val="center"/>
          <w:trHeight w:val="780"/>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互联网</w:t>
            </w:r>
            <w:r>
              <w:rPr>
                <w:rFonts w:hint="eastAsia" w:ascii="宋体" w:hAnsi="宋体" w:cs="宋体"/>
                <w:color w:val="auto"/>
                <w:szCs w:val="21"/>
                <w:highlight w:val="none"/>
              </w:rPr>
              <w:t xml:space="preserve">终端准入控制系统</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北信源接入控制系统VRV-BMG，200点准入授权</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北信源</w:t>
            </w:r>
            <w:r/>
          </w:p>
        </w:tc>
      </w:tr>
      <w:tr>
        <w:trPr>
          <w:jc w:val="center"/>
          <w:trHeight w:val="2565"/>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人社专网</w:t>
            </w:r>
            <w:r>
              <w:rPr>
                <w:rFonts w:hint="eastAsia" w:ascii="宋体" w:hAnsi="宋体" w:cs="宋体"/>
                <w:color w:val="auto"/>
                <w:szCs w:val="21"/>
                <w:highlight w:val="none"/>
              </w:rPr>
              <w:t xml:space="preserve">堡垒机</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LogBaseSOM-B3709，采用软硬件一体化产品，2U标准机架式服务器架构；4个千兆以太网电口，有单独的管理端口,2块4T企业级硬盘,RAID1，可用存储空间为4TB，支持外部网络存储(NAS)；并发会话数为2000个；内置管理设备1000授权许可。</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思福迪</w:t>
            </w:r>
            <w:r/>
          </w:p>
        </w:tc>
      </w:tr>
      <w:tr>
        <w:trPr>
          <w:jc w:val="center"/>
          <w:trHeight w:val="1800"/>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c>
          <w:tcPr>
            <w:shd w:val="clear" w:color="auto" w:fill="auto"/>
            <w:tcBorders>
              <w:top w:val="none" w:color="000000" w:sz="4" w:space="0"/>
              <w:left w:val="single" w:color="auto" w:sz="8" w:space="0"/>
              <w:bottom w:val="single" w:color="auto" w:sz="8" w:space="0"/>
              <w:right w:val="single" w:color="auto" w:sz="8" w:space="0"/>
            </w:tcBorders>
            <w:tcW w:w="1960"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人社专网</w:t>
            </w:r>
            <w:r>
              <w:rPr>
                <w:rFonts w:hint="eastAsia" w:ascii="宋体" w:hAnsi="宋体" w:cs="宋体"/>
                <w:color w:val="auto"/>
                <w:szCs w:val="21"/>
                <w:highlight w:val="none"/>
              </w:rPr>
              <w:t xml:space="preserve">VDI用户授权</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1.以并发用户的数量来计算需要增加多少个VDI接入许可授权，此授权是用户接入虚拟桌面架构的基础，支持发布独享桌面、共享桌面、远程应用和独享桌面（包含深信服虚拟机管理软件VMS）。</w:t>
            </w:r>
            <w:r/>
          </w:p>
        </w:tc>
        <w:tc>
          <w:tcPr>
            <w:shd w:val="clear" w:color="auto" w:fill="auto"/>
            <w:tcBorders>
              <w:top w:val="none" w:color="000000" w:sz="4" w:space="0"/>
              <w:left w:val="single" w:color="auto" w:sz="8" w:space="0"/>
              <w:bottom w:val="single" w:color="auto" w:sz="8" w:space="0"/>
              <w:right w:val="single" w:color="auto" w:sz="8" w:space="0"/>
            </w:tcBorders>
            <w:tcW w:w="782"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shd w:val="clear" w:color="auto" w:fill="auto"/>
            <w:tcBorders>
              <w:top w:val="none" w:color="000000" w:sz="4" w:space="0"/>
              <w:left w:val="single" w:color="auto" w:sz="8" w:space="0"/>
              <w:bottom w:val="single" w:color="auto" w:sz="8" w:space="0"/>
              <w:right w:val="single" w:color="auto" w:sz="8" w:space="0"/>
            </w:tcBorders>
            <w:tcW w:w="782"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50</w:t>
            </w:r>
            <w:r/>
          </w:p>
        </w:tc>
        <w:tc>
          <w:tcPr>
            <w:shd w:val="clear" w:color="auto" w:fill="auto"/>
            <w:tcBorders>
              <w:top w:val="none" w:color="000000" w:sz="4" w:space="0"/>
              <w:left w:val="single" w:color="auto" w:sz="8" w:space="0"/>
              <w:bottom w:val="single" w:color="auto" w:sz="8" w:space="0"/>
              <w:right w:val="single" w:color="auto" w:sz="8" w:space="0"/>
            </w:tcBorders>
            <w:tcW w:w="1043"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深信服</w:t>
            </w:r>
            <w:r/>
          </w:p>
        </w:tc>
      </w:tr>
      <w:tr>
        <w:trPr>
          <w:jc w:val="center"/>
          <w:trHeight w:val="2820"/>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w:t>
            </w:r>
            <w:r/>
          </w:p>
        </w:tc>
        <w:tc>
          <w:tcPr>
            <w:tcBorders>
              <w:top w:val="none" w:color="000000" w:sz="4" w:space="0"/>
              <w:left w:val="single" w:color="auto" w:sz="8" w:space="0"/>
              <w:bottom w:val="single" w:color="auto" w:sz="8" w:space="0"/>
              <w:right w:val="single" w:color="auto" w:sz="8" w:space="0"/>
            </w:tcBorders>
            <w:tcW w:w="1960"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深信服虚拟机管理软件VMS：作为服务器虚拟化的软件安装在每台服务器上，将每台物理服务器划分为多台虚拟服务器，并实现虚拟机快速部署、故障自动迁移、集群HA、资源负载均衡和性能优化等特性，最终构建一个功能强大、高可靠性、高可扩展性的虚拟桌面基础架构。</w:t>
            </w:r>
            <w:r/>
          </w:p>
        </w:tc>
        <w:tc>
          <w:tcPr>
            <w:tcBorders>
              <w:top w:val="none" w:color="000000" w:sz="4" w:space="0"/>
              <w:left w:val="single" w:color="auto" w:sz="8" w:space="0"/>
              <w:bottom w:val="single" w:color="auto" w:sz="8" w:space="0"/>
              <w:right w:val="single" w:color="auto" w:sz="8" w:space="0"/>
            </w:tcBorders>
            <w:tcW w:w="782"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782"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8" w:space="0"/>
              <w:bottom w:val="single" w:color="auto" w:sz="8" w:space="0"/>
              <w:right w:val="single" w:color="auto" w:sz="8" w:space="0"/>
            </w:tcBorders>
            <w:tcW w:w="1043"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1635"/>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人社专网</w:t>
            </w:r>
            <w:r>
              <w:rPr>
                <w:rFonts w:hint="eastAsia" w:ascii="宋体" w:hAnsi="宋体" w:cs="宋体"/>
                <w:color w:val="auto"/>
                <w:szCs w:val="21"/>
                <w:highlight w:val="none"/>
              </w:rPr>
              <w:t xml:space="preserve">瘦终端aDesk-STD-100</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提供外设接入和显示接入终端，本身采用ARM架构设计,二核心A9处理器。包含4个USB接口，1*VGA或者1*HDMI.1*RJ45网口。</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50</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深信服</w:t>
            </w:r>
            <w:r/>
          </w:p>
        </w:tc>
      </w:tr>
      <w:tr>
        <w:trPr>
          <w:jc w:val="center"/>
          <w:trHeight w:val="1545"/>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人社专网</w:t>
            </w:r>
            <w:r>
              <w:rPr>
                <w:rFonts w:hint="eastAsia" w:ascii="宋体" w:hAnsi="宋体" w:cs="宋体"/>
                <w:color w:val="auto"/>
                <w:szCs w:val="21"/>
                <w:highlight w:val="none"/>
              </w:rPr>
              <w:t xml:space="preserve">桌面云服务器-VDS-3550</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CPU:2*E5-2620v4（8核，2.1GHZ）内存96G，磁盘：1*64 G SSD,1*120G SSD,4*2T SATA盘，磁盘插槽8个，网络接口6*GE，双电源。</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深信服</w:t>
            </w:r>
            <w:r/>
          </w:p>
        </w:tc>
      </w:tr>
      <w:tr>
        <w:trPr>
          <w:jc w:val="center"/>
          <w:trHeight w:val="1635"/>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人社专网</w:t>
            </w:r>
            <w:r>
              <w:rPr>
                <w:rFonts w:hint="eastAsia" w:ascii="宋体" w:hAnsi="宋体" w:cs="宋体"/>
                <w:color w:val="auto"/>
                <w:szCs w:val="21"/>
                <w:highlight w:val="none"/>
              </w:rPr>
              <w:t xml:space="preserve">存储虚拟化模块VS-3550</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通过软件层面实现存储虚拟化，替代外置共享存储；同时能够根据用户的规模扩容，实现灵活的横向扩展。</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深信服</w:t>
            </w:r>
            <w:r/>
          </w:p>
        </w:tc>
      </w:tr>
      <w:tr>
        <w:trPr>
          <w:jc w:val="center"/>
          <w:trHeight w:val="1380"/>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人社专网</w:t>
            </w:r>
            <w:r>
              <w:rPr>
                <w:rFonts w:hint="eastAsia" w:ascii="宋体" w:hAnsi="宋体" w:cs="宋体"/>
                <w:color w:val="auto"/>
                <w:szCs w:val="21"/>
                <w:highlight w:val="none"/>
              </w:rPr>
              <w:t xml:space="preserve">桌面虚拟化KEY</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通过软件层面实现存储虚拟化，替代外置共享存储；同时能够根据用户的规模扩容，实现灵活的横向扩展。</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深信服</w:t>
            </w:r>
            <w:r/>
          </w:p>
        </w:tc>
      </w:tr>
      <w:tr>
        <w:trPr>
          <w:jc w:val="center"/>
          <w:trHeight w:val="1380"/>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人社专网</w:t>
            </w:r>
            <w:r>
              <w:rPr>
                <w:rFonts w:hint="eastAsia" w:ascii="宋体" w:hAnsi="宋体" w:cs="宋体"/>
                <w:color w:val="auto"/>
                <w:szCs w:val="21"/>
                <w:highlight w:val="none"/>
              </w:rPr>
              <w:t xml:space="preserve">天擎终端安全管理系统</w:t>
            </w:r>
            <w:r/>
          </w:p>
        </w:tc>
        <w:tc>
          <w:tcPr>
            <w:shd w:val="clear" w:color="auto" w:fill="auto"/>
            <w:tcBorders>
              <w:top w:val="none" w:color="000000" w:sz="4" w:space="0"/>
              <w:left w:val="none" w:color="000000" w:sz="4" w:space="0"/>
              <w:bottom w:val="single" w:color="auto" w:sz="8" w:space="0"/>
              <w:right w:val="single" w:color="auto" w:sz="8" w:space="0"/>
            </w:tcBorders>
            <w:tcW w:w="294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防病毒功能+补丁管理功能，支持Windows XP/VISTA/WIN7/WIN8/WIN10，含三年升级服务。200个终端电脑、40台服务器许可。</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p>
        </w:tc>
        <w:tc>
          <w:tcPr>
            <w:shd w:val="clear" w:color="auto" w:fill="auto"/>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10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奇安信</w:t>
            </w:r>
            <w:r/>
          </w:p>
        </w:tc>
      </w:tr>
      <w:tr>
        <w:trPr>
          <w:jc w:val="center"/>
          <w:trHeight w:val="1380"/>
        </w:trPr>
        <w:tc>
          <w:tcPr>
            <w:shd w:val="clear" w:color="auto" w:fill="auto"/>
            <w:tcBorders>
              <w:top w:val="none" w:color="000000" w:sz="4" w:space="0"/>
              <w:left w:val="single" w:color="auto" w:sz="8" w:space="0"/>
              <w:bottom w:val="single" w:color="auto" w:sz="8" w:space="0"/>
              <w:right w:val="single" w:color="auto" w:sz="8" w:space="0"/>
            </w:tcBorders>
            <w:tcW w:w="8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w:t>
            </w:r>
            <w:r/>
          </w:p>
        </w:tc>
        <w:tc>
          <w:tcPr>
            <w:shd w:val="clear" w:color="auto" w:fill="auto"/>
            <w:tcBorders>
              <w:top w:val="none" w:color="000000" w:sz="4"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网络及安全驻场服务费用</w:t>
            </w:r>
            <w:r/>
          </w:p>
        </w:tc>
        <w:tc>
          <w:tcPr>
            <w:gridSpan w:val="4"/>
            <w:shd w:val="clear" w:color="auto" w:fill="auto"/>
            <w:tcBorders>
              <w:top w:val="none" w:color="000000" w:sz="4" w:space="0"/>
              <w:left w:val="none" w:color="000000" w:sz="4" w:space="0"/>
              <w:bottom w:val="single" w:color="auto" w:sz="8" w:space="0"/>
              <w:right w:val="single" w:color="auto" w:sz="8" w:space="0"/>
            </w:tcBorders>
            <w:tcW w:w="5553" w:type="dxa"/>
            <w:vAlign w:val="center"/>
            <w:textDirection w:val="lrTb"/>
            <w:noWrap w:val="false"/>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供应商提供1名专业网络和安全服务工程师常驻采购人现场提供服务</w:t>
            </w:r>
            <w:r/>
          </w:p>
        </w:tc>
      </w:tr>
    </w:tbl>
    <w:p>
      <w:pPr>
        <w:spacing w:line="300" w:lineRule="exact"/>
        <w:rPr>
          <w:rFonts w:ascii="宋体" w:hAnsi="宋体"/>
          <w:color w:val="auto"/>
          <w:szCs w:val="21"/>
          <w:highlight w:val="none"/>
        </w:rPr>
      </w:pPr>
      <w:r>
        <w:rPr>
          <w:rFonts w:ascii="宋体" w:hAnsi="宋体"/>
          <w:color w:val="auto"/>
          <w:szCs w:val="21"/>
          <w:highlight w:val="none"/>
        </w:rPr>
      </w:r>
      <w:r/>
    </w:p>
    <w:p>
      <w:pPr>
        <w:jc w:val="left"/>
        <w:spacing w:line="440" w:lineRule="exact"/>
        <w:rPr>
          <w:rFonts w:ascii="宋体" w:hAnsi="宋体"/>
          <w:b/>
          <w:color w:val="auto"/>
          <w:sz w:val="24"/>
          <w:highlight w:val="none"/>
        </w:rPr>
      </w:pPr>
      <w:r>
        <w:rPr>
          <w:rFonts w:hint="eastAsia" w:ascii="宋体" w:hAnsi="宋体"/>
          <w:b/>
          <w:color w:val="auto"/>
          <w:sz w:val="24"/>
          <w:highlight w:val="none"/>
        </w:rPr>
        <w:t xml:space="preserve">（二）综合柜员制大厅设施设备</w:t>
      </w:r>
      <w:r>
        <w:rPr>
          <w:rFonts w:ascii="宋体" w:hAnsi="宋体"/>
          <w:b/>
          <w:color w:val="auto"/>
          <w:sz w:val="24"/>
          <w:highlight w:val="none"/>
        </w:rPr>
        <w:t xml:space="preserve">维保</w:t>
      </w:r>
      <w:r>
        <w:rPr>
          <w:rFonts w:hint="eastAsia" w:ascii="宋体" w:hAnsi="宋体"/>
          <w:b/>
          <w:color w:val="auto"/>
          <w:sz w:val="24"/>
          <w:highlight w:val="none"/>
        </w:rPr>
        <w:t xml:space="preserve">清单</w:t>
      </w:r>
      <w:r/>
    </w:p>
    <w:p>
      <w:pPr>
        <w:jc w:val="left"/>
        <w:spacing w:line="440" w:lineRule="exact"/>
        <w:rPr>
          <w:rFonts w:ascii="宋体" w:hAnsi="宋体"/>
          <w:b/>
          <w:color w:val="auto"/>
          <w:sz w:val="24"/>
          <w:highlight w:val="none"/>
        </w:rPr>
      </w:pPr>
      <w:r>
        <w:rPr>
          <w:rFonts w:ascii="宋体" w:hAnsi="宋体"/>
          <w:b/>
          <w:color w:val="auto"/>
          <w:sz w:val="24"/>
          <w:highlight w:val="none"/>
        </w:rPr>
      </w:r>
      <w:r/>
    </w:p>
    <w:tbl>
      <w:tblPr>
        <w:tblStyle w:val="663"/>
        <w:tblW w:w="7797" w:type="dxa"/>
        <w:jc w:val="center"/>
        <w:tblLayout w:type="fixed"/>
        <w:tblCellMar>
          <w:left w:w="108" w:type="dxa"/>
          <w:top w:w="0" w:type="dxa"/>
          <w:right w:w="108" w:type="dxa"/>
          <w:bottom w:w="0" w:type="dxa"/>
        </w:tblCellMar>
        <w:tblLook w:val="04A0" w:firstRow="1" w:lastRow="0" w:firstColumn="1" w:lastColumn="0" w:noHBand="0" w:noVBand="1"/>
      </w:tblPr>
      <w:tblGrid>
        <w:gridCol w:w="851"/>
        <w:gridCol w:w="1843"/>
        <w:gridCol w:w="1134"/>
        <w:gridCol w:w="2835"/>
        <w:gridCol w:w="1134"/>
      </w:tblGrid>
      <w:tr>
        <w:trPr>
          <w:jc w:val="center"/>
          <w:trHeight w:val="285"/>
        </w:trPr>
        <w:tc>
          <w:tcPr>
            <w:shd w:val="clear" w:color="auto" w:fill="auto"/>
            <w:tcBorders>
              <w:top w:val="single" w:color="auto" w:sz="8"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shd w:val="clear" w:color="auto" w:fill="auto"/>
            <w:tcBorders>
              <w:top w:val="single" w:color="auto" w:sz="8"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货物名称</w:t>
            </w:r>
            <w:r/>
          </w:p>
        </w:tc>
        <w:tc>
          <w:tcPr>
            <w:shd w:val="clear" w:color="auto" w:fill="auto"/>
            <w:tcBorders>
              <w:top w:val="single" w:color="auto" w:sz="8"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品牌</w:t>
            </w:r>
            <w:r/>
          </w:p>
        </w:tc>
        <w:tc>
          <w:tcPr>
            <w:shd w:val="clear" w:color="auto" w:fill="auto"/>
            <w:tcBorders>
              <w:top w:val="single" w:color="auto" w:sz="8" w:space="0"/>
              <w:left w:val="none" w:color="000000" w:sz="4" w:space="0"/>
              <w:bottom w:val="single" w:color="auto" w:sz="8" w:space="0"/>
              <w:right w:val="single" w:color="auto" w:sz="8" w:space="0"/>
            </w:tcBorders>
            <w:tcW w:w="28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型号</w:t>
            </w:r>
            <w:r/>
          </w:p>
        </w:tc>
        <w:tc>
          <w:tcPr>
            <w:shd w:val="clear" w:color="auto" w:fill="auto"/>
            <w:tcBorders>
              <w:top w:val="single" w:color="auto" w:sz="8"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数量</w:t>
            </w:r>
            <w:r/>
          </w:p>
        </w:tc>
      </w:tr>
      <w:tr>
        <w:trPr>
          <w:jc w:val="center"/>
          <w:trHeight w:val="285"/>
        </w:trPr>
        <w:tc>
          <w:tcPr>
            <w:gridSpan w:val="5"/>
            <w:shd w:val="clear" w:color="auto" w:fill="auto"/>
            <w:tcBorders>
              <w:top w:val="single" w:color="auto" w:sz="8" w:space="0"/>
              <w:left w:val="single" w:color="auto" w:sz="8" w:space="0"/>
              <w:bottom w:val="single" w:color="auto" w:sz="8" w:space="0"/>
              <w:right w:val="single" w:color="auto" w:sz="8" w:space="0"/>
            </w:tcBorders>
            <w:tcW w:w="7797"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一、排队叫号系统</w:t>
            </w:r>
            <w:r/>
          </w:p>
        </w:tc>
      </w:tr>
      <w:tr>
        <w:trPr>
          <w:jc w:val="center"/>
          <w:trHeight w:val="52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取号机无线模块</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名雅</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MAIA-TR433M</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jc w:val="center"/>
          <w:trHeight w:val="103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智能一体机(窗口显示屏控制系统)</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名雅</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CP-MAIA0108</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18</w:t>
            </w:r>
            <w:r/>
          </w:p>
        </w:tc>
      </w:tr>
      <w:tr>
        <w:trPr>
          <w:jc w:val="center"/>
          <w:trHeight w:val="52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虚拟呼叫器</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名雅</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CP-MAIA01</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18</w:t>
            </w:r>
            <w:r/>
          </w:p>
        </w:tc>
      </w:tr>
      <w:tr>
        <w:trPr>
          <w:jc w:val="center"/>
          <w:trHeight w:val="52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通讯控制器</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名雅</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CP-MAIA02</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780"/>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智能一体机(引导屏)</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名雅</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SL4200</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52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标准版查询软件</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名雅</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V3.3</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103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智能一体机             （叫号信息）</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名雅</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SL4600</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780"/>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智能一体机(取号主机)</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名雅</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IK1700</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jc w:val="center"/>
          <w:trHeight w:val="52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后端控制软件</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28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交换机</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H3C</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H3C S1224F</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285"/>
        </w:trPr>
        <w:tc>
          <w:tcPr>
            <w:gridSpan w:val="5"/>
            <w:shd w:val="clear" w:color="auto" w:fill="auto"/>
            <w:tcBorders>
              <w:top w:val="single" w:color="auto" w:sz="8" w:space="0"/>
              <w:left w:val="single" w:color="auto" w:sz="8" w:space="0"/>
              <w:bottom w:val="single" w:color="auto" w:sz="8" w:space="0"/>
              <w:right w:val="single" w:color="auto" w:sz="8" w:space="0"/>
            </w:tcBorders>
            <w:tcW w:w="7797"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二、监控系统</w:t>
            </w:r>
            <w:r/>
          </w:p>
        </w:tc>
      </w:tr>
      <w:tr>
        <w:trPr>
          <w:jc w:val="center"/>
          <w:trHeight w:val="52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视频监控存储</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海康威视</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DS-A72024R</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28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平台软件</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海康威视</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ISC</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52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视频监控服务器</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海康威视</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DS-VE22S-B</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780"/>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400万网络摄像机</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海康威视</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DS-2CD2346WD-I</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50</w:t>
            </w:r>
            <w:r/>
          </w:p>
        </w:tc>
      </w:tr>
      <w:tr>
        <w:trPr>
          <w:jc w:val="center"/>
          <w:trHeight w:val="52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POE交换机</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海康威视</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DS-3E0318P-S</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jc w:val="center"/>
          <w:trHeight w:val="52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汇聚交换机</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海康威视</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DS-3E0524TF</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28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存储硬盘</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希捷</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ST6000NM0115</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24</w:t>
            </w:r>
            <w:r/>
          </w:p>
        </w:tc>
      </w:tr>
      <w:tr>
        <w:trPr>
          <w:jc w:val="center"/>
          <w:trHeight w:val="52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拾音器</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海康威视</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DS-2FP2020</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18</w:t>
            </w:r>
            <w:r/>
          </w:p>
        </w:tc>
      </w:tr>
      <w:tr>
        <w:trPr>
          <w:jc w:val="center"/>
          <w:trHeight w:val="285"/>
        </w:trPr>
        <w:tc>
          <w:tcPr>
            <w:gridSpan w:val="5"/>
            <w:shd w:val="clear" w:color="auto" w:fill="auto"/>
            <w:tcBorders>
              <w:top w:val="single" w:color="auto" w:sz="8" w:space="0"/>
              <w:left w:val="single" w:color="auto" w:sz="8" w:space="0"/>
              <w:bottom w:val="single" w:color="auto" w:sz="8" w:space="0"/>
              <w:right w:val="single" w:color="auto" w:sz="8" w:space="0"/>
            </w:tcBorders>
            <w:tcW w:w="7797"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三、大厅LED全彩电子屏</w:t>
            </w:r>
            <w:r/>
          </w:p>
        </w:tc>
      </w:tr>
      <w:tr>
        <w:trPr>
          <w:jc w:val="center"/>
          <w:trHeight w:val="52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室内全彩LED显示屏</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天合</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P2</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9.98</w:t>
            </w:r>
            <w:r/>
          </w:p>
        </w:tc>
      </w:tr>
      <w:tr>
        <w:trPr>
          <w:jc w:val="center"/>
          <w:trHeight w:val="28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控制系统</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卡莱特</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5A-75B</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52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视频处理器</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卡莱特</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x6</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28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安装支架</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28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智能电柜</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28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控制电脑</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联想</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启天M435</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285"/>
        </w:trPr>
        <w:tc>
          <w:tcPr>
            <w:gridSpan w:val="5"/>
            <w:shd w:val="clear" w:color="auto" w:fill="auto"/>
            <w:tcBorders>
              <w:top w:val="single" w:color="auto" w:sz="8" w:space="0"/>
              <w:left w:val="single" w:color="auto" w:sz="8" w:space="0"/>
              <w:bottom w:val="single" w:color="auto" w:sz="8" w:space="0"/>
              <w:right w:val="single" w:color="auto" w:sz="8" w:space="0"/>
            </w:tcBorders>
            <w:tcW w:w="7797"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四、室外LED全彩电子屏</w:t>
            </w:r>
            <w:r/>
          </w:p>
        </w:tc>
      </w:tr>
      <w:tr>
        <w:trPr>
          <w:jc w:val="center"/>
          <w:trHeight w:val="52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室外全彩LED显示屏</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天合</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p4</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24.77</w:t>
            </w:r>
            <w:r/>
          </w:p>
        </w:tc>
      </w:tr>
      <w:tr>
        <w:trPr>
          <w:jc w:val="center"/>
          <w:trHeight w:val="28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控制系统</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卡莱特</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5A-75E</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52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视频处理器</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卡莱特</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X4S</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28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安装支架</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28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智能电柜</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定制</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28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控制电脑</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联想</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启天M435</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285"/>
        </w:trPr>
        <w:tc>
          <w:tcPr>
            <w:gridSpan w:val="5"/>
            <w:shd w:val="clear" w:color="auto" w:fill="auto"/>
            <w:tcBorders>
              <w:top w:val="single" w:color="auto" w:sz="8" w:space="0"/>
              <w:left w:val="single" w:color="auto" w:sz="8" w:space="0"/>
              <w:bottom w:val="single" w:color="auto" w:sz="8" w:space="0"/>
              <w:right w:val="single" w:color="auto" w:sz="8" w:space="0"/>
            </w:tcBorders>
            <w:tcW w:w="7797"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五、扩声系统</w:t>
            </w:r>
            <w:r/>
          </w:p>
        </w:tc>
      </w:tr>
      <w:tr>
        <w:trPr>
          <w:jc w:val="center"/>
          <w:trHeight w:val="52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定时播放主机</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SPDPA</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6601</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28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挂壁 喇叭</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SPDPA</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310</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w:t>
            </w:r>
            <w:r/>
          </w:p>
        </w:tc>
      </w:tr>
      <w:tr>
        <w:trPr>
          <w:jc w:val="center"/>
          <w:trHeight w:val="28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功放</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SPDPA</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120C</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285"/>
        </w:trPr>
        <w:tc>
          <w:tcPr>
            <w:gridSpan w:val="5"/>
            <w:shd w:val="clear" w:color="auto" w:fill="auto"/>
            <w:tcBorders>
              <w:top w:val="single" w:color="auto" w:sz="8" w:space="0"/>
              <w:left w:val="single" w:color="auto" w:sz="8" w:space="0"/>
              <w:bottom w:val="single" w:color="auto" w:sz="8" w:space="0"/>
              <w:right w:val="single" w:color="auto" w:sz="8" w:space="0"/>
            </w:tcBorders>
            <w:tcW w:w="7797"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六、云桌面和签批屏</w:t>
            </w:r>
            <w:r/>
          </w:p>
        </w:tc>
      </w:tr>
      <w:tr>
        <w:trPr>
          <w:jc w:val="center"/>
          <w:trHeight w:val="1350"/>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VDI授权与配件（三年质保）</w:t>
            </w:r>
            <w:r>
              <w:rPr>
                <w:rFonts w:hint="eastAsia" w:ascii="宋体" w:hAnsi="宋体" w:cs="宋体"/>
                <w:b/>
                <w:bCs/>
                <w:color w:val="auto"/>
                <w:sz w:val="24"/>
                <w:highlight w:val="none"/>
              </w:rPr>
              <w:t xml:space="preserve">(原厂维保服务)</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深信服</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VDI授权与配件(aDesk)</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1350"/>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aDesk瘦终端（三年质保）</w:t>
            </w:r>
            <w:r>
              <w:rPr>
                <w:rFonts w:hint="eastAsia" w:ascii="宋体" w:hAnsi="宋体" w:cs="宋体"/>
                <w:b/>
                <w:bCs/>
                <w:color w:val="auto"/>
                <w:sz w:val="24"/>
                <w:highlight w:val="none"/>
              </w:rPr>
              <w:t xml:space="preserve">(原厂维保服务)</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深信服</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aDesk-STD-200H(HDMI)</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50</w:t>
            </w:r>
            <w:r/>
          </w:p>
        </w:tc>
      </w:tr>
      <w:tr>
        <w:trPr>
          <w:jc w:val="center"/>
          <w:trHeight w:val="109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VDS（三年质保）</w:t>
            </w:r>
            <w:r>
              <w:rPr>
                <w:rFonts w:hint="eastAsia" w:ascii="宋体" w:hAnsi="宋体" w:cs="宋体"/>
                <w:b/>
                <w:bCs/>
                <w:color w:val="auto"/>
                <w:sz w:val="24"/>
                <w:highlight w:val="none"/>
              </w:rPr>
              <w:t xml:space="preserve">(原厂维保服务)</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深信服</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VDS-R-6550</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jc w:val="center"/>
          <w:trHeight w:val="109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EDR（三年质保）</w:t>
            </w:r>
            <w:r>
              <w:rPr>
                <w:rFonts w:hint="eastAsia" w:ascii="宋体" w:hAnsi="宋体" w:cs="宋体"/>
                <w:b/>
                <w:bCs/>
                <w:color w:val="auto"/>
                <w:sz w:val="24"/>
                <w:highlight w:val="none"/>
              </w:rPr>
              <w:t xml:space="preserve">(原厂维保服务)</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深信服</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EDR</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780"/>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签批屏（五年质保）</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上融</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SRS1006U</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18</w:t>
            </w:r>
            <w:r/>
          </w:p>
        </w:tc>
      </w:tr>
      <w:tr>
        <w:trPr>
          <w:jc w:val="center"/>
          <w:trHeight w:val="52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HDMI分配器</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绿联</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40201</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22</w:t>
            </w:r>
            <w:r/>
          </w:p>
        </w:tc>
      </w:tr>
      <w:tr>
        <w:trPr>
          <w:jc w:val="center"/>
          <w:trHeight w:val="28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HDMI线缆</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绿联</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10107</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44</w:t>
            </w:r>
            <w:r/>
          </w:p>
        </w:tc>
      </w:tr>
      <w:tr>
        <w:trPr>
          <w:jc w:val="center"/>
          <w:trHeight w:val="52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交换机</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H3C</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LS-5130S-28P-EI</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jc w:val="center"/>
          <w:trHeight w:val="285"/>
        </w:trPr>
        <w:tc>
          <w:tcPr>
            <w:gridSpan w:val="5"/>
            <w:shd w:val="clear" w:color="auto" w:fill="auto"/>
            <w:tcBorders>
              <w:top w:val="single" w:color="auto" w:sz="8" w:space="0"/>
              <w:left w:val="single" w:color="auto" w:sz="8" w:space="0"/>
              <w:bottom w:val="single" w:color="auto" w:sz="8" w:space="0"/>
              <w:right w:val="single" w:color="auto" w:sz="8" w:space="0"/>
            </w:tcBorders>
            <w:tcW w:w="7797"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七、显示器及液晶电视</w:t>
            </w:r>
            <w:r/>
          </w:p>
        </w:tc>
      </w:tr>
      <w:tr>
        <w:trPr>
          <w:jc w:val="center"/>
          <w:trHeight w:val="780"/>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显示器（三年质保）</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DELL</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DELL SE2219H</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50</w:t>
            </w:r>
            <w:r/>
          </w:p>
        </w:tc>
      </w:tr>
      <w:tr>
        <w:trPr>
          <w:jc w:val="center"/>
          <w:trHeight w:val="28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平板电视</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海信</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85E7F</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285"/>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无线屏传</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同辉</w:t>
            </w:r>
            <w:r/>
          </w:p>
        </w:tc>
        <w:tc>
          <w:tcPr>
            <w:shd w:val="clear" w:color="auto" w:fill="auto"/>
            <w:tcBorders>
              <w:top w:val="none" w:color="000000" w:sz="4" w:space="0"/>
              <w:left w:val="none" w:color="000000" w:sz="4" w:space="0"/>
              <w:bottom w:val="single" w:color="auto" w:sz="8" w:space="0"/>
              <w:right w:val="single" w:color="auto" w:sz="8" w:space="0"/>
            </w:tcBorders>
            <w:tcW w:w="283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Q100-G</w:t>
            </w:r>
            <w:r/>
          </w:p>
        </w:tc>
        <w:tc>
          <w:tcPr>
            <w:shd w:val="clear" w:color="auto" w:fill="auto"/>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285"/>
        </w:trPr>
        <w:tc>
          <w:tcPr>
            <w:gridSpan w:val="5"/>
            <w:shd w:val="clear" w:color="auto" w:fill="auto"/>
            <w:tcBorders>
              <w:top w:val="single" w:color="auto" w:sz="8" w:space="0"/>
              <w:left w:val="single" w:color="auto" w:sz="8" w:space="0"/>
              <w:bottom w:val="single" w:color="auto" w:sz="8" w:space="0"/>
              <w:right w:val="single" w:color="auto" w:sz="8" w:space="0"/>
            </w:tcBorders>
            <w:tcW w:w="7797" w:type="dxa"/>
            <w:vAlign w:val="center"/>
            <w:textDirection w:val="lrTb"/>
            <w:noWrap/>
          </w:tcPr>
          <w:p>
            <w:pPr>
              <w:jc w:val="center"/>
              <w:widowControl/>
              <w:rPr>
                <w:rFonts w:hint="eastAsia" w:cs="宋体" w:asciiTheme="minorEastAsia" w:hAnsiTheme="minorEastAsia" w:eastAsiaTheme="minorEastAsia"/>
                <w:color w:val="auto"/>
                <w:szCs w:val="21"/>
                <w:highlight w:val="none"/>
                <w:lang w:eastAsia="zh-CN"/>
              </w:rPr>
            </w:pPr>
            <w:r>
              <w:rPr>
                <w:rFonts w:hint="eastAsia" w:cs="宋体" w:asciiTheme="minorEastAsia" w:hAnsiTheme="minorEastAsia" w:eastAsiaTheme="minorEastAsia"/>
                <w:b/>
                <w:bCs/>
                <w:color w:val="auto"/>
                <w:szCs w:val="21"/>
                <w:highlight w:val="none"/>
              </w:rPr>
              <w:t xml:space="preserve">八、</w:t>
            </w:r>
            <w:r>
              <w:rPr>
                <w:rFonts w:hint="eastAsia" w:cs="宋体" w:asciiTheme="minorEastAsia" w:hAnsiTheme="minorEastAsia" w:eastAsiaTheme="minorEastAsia"/>
                <w:b/>
                <w:bCs/>
                <w:color w:val="auto"/>
                <w:szCs w:val="21"/>
                <w:highlight w:val="none"/>
                <w:lang w:eastAsia="zh-CN"/>
              </w:rPr>
              <w:t xml:space="preserve">驻场服务</w:t>
            </w:r>
            <w:r/>
          </w:p>
        </w:tc>
      </w:tr>
      <w:tr>
        <w:trPr>
          <w:jc w:val="center"/>
          <w:trHeight w:val="780"/>
        </w:trPr>
        <w:tc>
          <w:tcPr>
            <w:shd w:val="clear" w:color="auto" w:fill="auto"/>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1843" w:type="dxa"/>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驻场</w:t>
            </w:r>
            <w:r>
              <w:rPr>
                <w:rFonts w:hint="eastAsia" w:ascii="宋体" w:hAnsi="宋体" w:cs="宋体"/>
                <w:color w:val="auto"/>
                <w:szCs w:val="21"/>
                <w:highlight w:val="none"/>
              </w:rPr>
              <w:t xml:space="preserve">服务</w:t>
            </w:r>
            <w:r>
              <w:rPr>
                <w:rFonts w:hint="eastAsia" w:ascii="宋体" w:hAnsi="宋体" w:cs="宋体"/>
                <w:color w:val="auto"/>
                <w:szCs w:val="21"/>
                <w:highlight w:val="none"/>
                <w:lang w:eastAsia="zh-CN"/>
              </w:rPr>
              <w:t xml:space="preserve">要求</w:t>
            </w:r>
            <w:r/>
          </w:p>
        </w:tc>
        <w:tc>
          <w:tcPr>
            <w:gridSpan w:val="3"/>
            <w:shd w:val="clear" w:color="auto" w:fill="auto"/>
            <w:tcBorders>
              <w:top w:val="none" w:color="000000" w:sz="4" w:space="0"/>
              <w:left w:val="none" w:color="000000" w:sz="4" w:space="0"/>
              <w:bottom w:val="single" w:color="auto" w:sz="8" w:space="0"/>
              <w:right w:val="single" w:color="auto" w:sz="8" w:space="0"/>
            </w:tcBorders>
            <w:tcW w:w="5103" w:type="dxa"/>
            <w:vAlign w:val="center"/>
            <w:textDirection w:val="lrTb"/>
            <w:noWrap/>
          </w:tcPr>
          <w:p>
            <w:pPr>
              <w:jc w:val="center"/>
              <w:widowControl/>
              <w:rPr>
                <w:rFonts w:hint="eastAsia" w:ascii="宋体" w:hAnsi="宋体" w:eastAsia="宋体" w:cs="宋体"/>
                <w:color w:val="auto"/>
                <w:szCs w:val="21"/>
                <w:highlight w:val="none"/>
                <w:lang w:val="en-US" w:eastAsia="zh-CN"/>
              </w:rPr>
            </w:pPr>
            <w:r>
              <w:rPr>
                <w:rFonts w:hint="eastAsia" w:cs="宋体" w:asciiTheme="minorEastAsia" w:hAnsiTheme="minorEastAsia" w:eastAsiaTheme="minorEastAsia"/>
                <w:color w:val="auto"/>
                <w:szCs w:val="21"/>
                <w:highlight w:val="none"/>
              </w:rPr>
              <w:t xml:space="preserve">供应商提供1名专业</w:t>
            </w:r>
            <w:r>
              <w:rPr>
                <w:rFonts w:hint="eastAsia" w:ascii="宋体" w:hAnsi="宋体" w:cs="宋体"/>
                <w:color w:val="auto"/>
                <w:szCs w:val="21"/>
                <w:highlight w:val="none"/>
              </w:rPr>
              <w:t xml:space="preserve">智能化和终端服务</w:t>
            </w:r>
            <w:r>
              <w:rPr>
                <w:rFonts w:hint="eastAsia" w:cs="宋体" w:asciiTheme="minorEastAsia" w:hAnsiTheme="minorEastAsia" w:eastAsiaTheme="minorEastAsia"/>
                <w:color w:val="auto"/>
                <w:szCs w:val="21"/>
                <w:highlight w:val="none"/>
              </w:rPr>
              <w:t xml:space="preserve">工程师常驻采购人现场提供服务</w:t>
            </w:r>
            <w:r/>
          </w:p>
        </w:tc>
      </w:tr>
    </w:tbl>
    <w:p>
      <w:pPr>
        <w:jc w:val="left"/>
        <w:spacing w:line="440" w:lineRule="exact"/>
        <w:rPr>
          <w:rFonts w:ascii="宋体" w:hAnsi="宋体"/>
          <w:b/>
          <w:color w:val="auto"/>
          <w:sz w:val="24"/>
          <w:highlight w:val="none"/>
        </w:rPr>
      </w:pPr>
      <w:r>
        <w:rPr>
          <w:rFonts w:ascii="宋体" w:hAnsi="宋体"/>
          <w:b/>
          <w:color w:val="auto"/>
          <w:sz w:val="24"/>
          <w:highlight w:val="none"/>
        </w:rPr>
      </w:r>
      <w:r/>
    </w:p>
    <w:p>
      <w:pPr>
        <w:jc w:val="left"/>
        <w:spacing w:line="440" w:lineRule="exact"/>
        <w:rPr>
          <w:rFonts w:ascii="宋体" w:hAnsi="宋体"/>
          <w:b/>
          <w:color w:val="auto"/>
          <w:sz w:val="24"/>
          <w:highlight w:val="none"/>
        </w:rPr>
      </w:pPr>
      <w:r>
        <w:rPr>
          <w:rFonts w:hint="eastAsia" w:ascii="宋体" w:hAnsi="宋体"/>
          <w:b/>
          <w:color w:val="auto"/>
          <w:sz w:val="24"/>
          <w:highlight w:val="none"/>
        </w:rPr>
        <w:t xml:space="preserve">（三）终端电脑设备及电话配线系统</w:t>
      </w:r>
      <w:r>
        <w:rPr>
          <w:rFonts w:ascii="宋体" w:hAnsi="宋体"/>
          <w:b/>
          <w:color w:val="auto"/>
          <w:sz w:val="24"/>
          <w:highlight w:val="none"/>
        </w:rPr>
        <w:t xml:space="preserve">维保</w:t>
      </w:r>
      <w:r>
        <w:rPr>
          <w:rFonts w:hint="eastAsia" w:ascii="宋体" w:hAnsi="宋体"/>
          <w:b/>
          <w:color w:val="auto"/>
          <w:sz w:val="24"/>
          <w:highlight w:val="none"/>
        </w:rPr>
        <w:t xml:space="preserve">清单</w:t>
      </w:r>
      <w:r/>
    </w:p>
    <w:p>
      <w:pPr>
        <w:ind w:firstLine="555"/>
        <w:spacing w:line="360" w:lineRule="auto"/>
        <w:rPr>
          <w:rFonts w:ascii="宋体" w:hAnsi="宋体"/>
          <w:color w:val="auto"/>
          <w:sz w:val="24"/>
          <w:highlight w:val="none"/>
        </w:rPr>
      </w:pPr>
      <w:r>
        <w:rPr>
          <w:rFonts w:hint="eastAsia" w:ascii="宋体" w:hAnsi="宋体"/>
          <w:color w:val="auto"/>
          <w:sz w:val="24"/>
          <w:highlight w:val="none"/>
        </w:rPr>
        <w:t xml:space="preserve">采购人（丹阳市人力资源和社会保障局）局</w:t>
      </w:r>
      <w:r>
        <w:rPr>
          <w:rFonts w:hint="eastAsia" w:ascii="宋体" w:hAnsi="宋体"/>
          <w:color w:val="auto"/>
          <w:sz w:val="24"/>
          <w:highlight w:val="none"/>
          <w:lang w:eastAsia="zh-CN"/>
        </w:rPr>
        <w:t xml:space="preserve">机关科室</w:t>
      </w:r>
      <w:r>
        <w:rPr>
          <w:rFonts w:hint="eastAsia" w:ascii="宋体" w:hAnsi="宋体"/>
          <w:color w:val="auto"/>
          <w:sz w:val="24"/>
          <w:highlight w:val="none"/>
        </w:rPr>
        <w:t xml:space="preserve">、事业单位全部业务终端电脑，约</w:t>
      </w:r>
      <w:r>
        <w:rPr>
          <w:rFonts w:ascii="宋体" w:hAnsi="宋体"/>
          <w:color w:val="auto"/>
          <w:sz w:val="24"/>
          <w:highlight w:val="none"/>
        </w:rPr>
        <w:t xml:space="preserve">250</w:t>
      </w:r>
      <w:r>
        <w:rPr>
          <w:rFonts w:hint="eastAsia" w:ascii="宋体" w:hAnsi="宋体"/>
          <w:color w:val="auto"/>
          <w:sz w:val="24"/>
          <w:highlight w:val="none"/>
        </w:rPr>
        <w:t xml:space="preserve">台，供应商负责相关电脑的系统软件和常用业务软件的安装、调试以及运维服务，终端电脑硬件以及外设的安装、调整以及迁移服务。终端电脑硬件以及外设的故障替换备件、外设的耗材等由采购人提供。</w:t>
      </w:r>
      <w:r/>
    </w:p>
    <w:tbl>
      <w:tblPr>
        <w:tblStyle w:val="663"/>
        <w:tblW w:w="7797" w:type="dxa"/>
        <w:jc w:val="center"/>
        <w:tblLayout w:type="fixed"/>
        <w:tblCellMar>
          <w:left w:w="108" w:type="dxa"/>
          <w:top w:w="0" w:type="dxa"/>
          <w:right w:w="108" w:type="dxa"/>
          <w:bottom w:w="0" w:type="dxa"/>
        </w:tblCellMar>
        <w:tblLook w:val="04A0" w:firstRow="1" w:lastRow="0" w:firstColumn="1" w:lastColumn="0" w:noHBand="0" w:noVBand="1"/>
      </w:tblPr>
      <w:tblGrid>
        <w:gridCol w:w="709"/>
        <w:gridCol w:w="1985"/>
        <w:gridCol w:w="5103"/>
      </w:tblGrid>
      <w:tr>
        <w:trPr>
          <w:jc w:val="center"/>
          <w:trHeight w:val="285"/>
        </w:trPr>
        <w:tc>
          <w:tcPr>
            <w:gridSpan w:val="3"/>
            <w:shd w:val="clear" w:color="auto" w:fill="auto"/>
            <w:tcBorders>
              <w:top w:val="single" w:color="auto" w:sz="8" w:space="0"/>
              <w:left w:val="single" w:color="auto" w:sz="8" w:space="0"/>
              <w:bottom w:val="single" w:color="auto" w:sz="8" w:space="0"/>
              <w:right w:val="single" w:color="auto" w:sz="8" w:space="0"/>
            </w:tcBorders>
            <w:tcW w:w="7797" w:type="dxa"/>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lang w:eastAsia="zh-CN"/>
              </w:rPr>
              <w:t xml:space="preserve">驻场</w:t>
            </w:r>
            <w:r>
              <w:rPr>
                <w:rFonts w:hint="eastAsia" w:cs="宋体" w:asciiTheme="minorEastAsia" w:hAnsiTheme="minorEastAsia" w:eastAsiaTheme="minorEastAsia"/>
                <w:b/>
                <w:bCs/>
                <w:color w:val="auto"/>
                <w:szCs w:val="21"/>
                <w:highlight w:val="none"/>
              </w:rPr>
              <w:t xml:space="preserve">服务</w:t>
            </w:r>
            <w:r/>
          </w:p>
        </w:tc>
      </w:tr>
      <w:tr>
        <w:trPr>
          <w:jc w:val="center"/>
          <w:trHeight w:val="780"/>
        </w:trPr>
        <w:tc>
          <w:tcPr>
            <w:shd w:val="clear" w:color="auto" w:fill="auto"/>
            <w:tcBorders>
              <w:top w:val="none" w:color="000000" w:sz="4" w:space="0"/>
              <w:left w:val="single" w:color="auto" w:sz="8" w:space="0"/>
              <w:bottom w:val="single" w:color="auto" w:sz="8" w:space="0"/>
              <w:right w:val="single" w:color="auto" w:sz="8" w:space="0"/>
            </w:tcBorders>
            <w:tcW w:w="709" w:type="dxa"/>
            <w:vAlign w:val="center"/>
            <w:textDirection w:val="lrTb"/>
            <w:noWrap w:val="false"/>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1985" w:type="dxa"/>
            <w:vAlign w:val="center"/>
            <w:textDirection w:val="lrTb"/>
            <w:noWrap w:val="false"/>
          </w:tcPr>
          <w:p>
            <w:pPr>
              <w:jc w:val="center"/>
              <w:widowControl/>
              <w:rPr>
                <w:rFonts w:hint="eastAsia" w:cs="宋体" w:asciiTheme="minorEastAsia" w:hAnsiTheme="minorEastAsia" w:eastAsiaTheme="minorEastAsia"/>
                <w:color w:val="auto"/>
                <w:szCs w:val="21"/>
                <w:highlight w:val="none"/>
                <w:lang w:eastAsia="zh-CN"/>
              </w:rPr>
            </w:pPr>
            <w:r>
              <w:rPr>
                <w:rFonts w:hint="eastAsia" w:ascii="宋体" w:hAnsi="宋体" w:cs="宋体"/>
                <w:color w:val="auto"/>
                <w:szCs w:val="21"/>
                <w:highlight w:val="none"/>
                <w:lang w:eastAsia="zh-CN"/>
              </w:rPr>
              <w:t xml:space="preserve">驻场</w:t>
            </w:r>
            <w:r>
              <w:rPr>
                <w:rFonts w:hint="eastAsia" w:ascii="宋体" w:hAnsi="宋体" w:cs="宋体"/>
                <w:color w:val="auto"/>
                <w:szCs w:val="21"/>
                <w:highlight w:val="none"/>
              </w:rPr>
              <w:t xml:space="preserve">服务</w:t>
            </w:r>
            <w:r>
              <w:rPr>
                <w:rFonts w:hint="eastAsia" w:ascii="宋体" w:hAnsi="宋体" w:cs="宋体"/>
                <w:color w:val="auto"/>
                <w:szCs w:val="21"/>
                <w:highlight w:val="none"/>
                <w:lang w:eastAsia="zh-CN"/>
              </w:rPr>
              <w:t xml:space="preserve">要求</w:t>
            </w:r>
            <w:r/>
          </w:p>
        </w:tc>
        <w:tc>
          <w:tcPr>
            <w:shd w:val="clear" w:color="auto" w:fill="auto"/>
            <w:tcBorders>
              <w:top w:val="none" w:color="000000" w:sz="4" w:space="0"/>
              <w:left w:val="none" w:color="000000" w:sz="4" w:space="0"/>
              <w:bottom w:val="single" w:color="auto" w:sz="8" w:space="0"/>
              <w:right w:val="single" w:color="auto" w:sz="8" w:space="0"/>
            </w:tcBorders>
            <w:tcW w:w="5103" w:type="dxa"/>
            <w:vAlign w:val="center"/>
            <w:textDirection w:val="lrTb"/>
            <w:noWrap/>
          </w:tcPr>
          <w:p>
            <w:pPr>
              <w:jc w:val="center"/>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t xml:space="preserve">本项服务由</w:t>
            </w:r>
            <w:r>
              <w:rPr>
                <w:rFonts w:hint="eastAsia" w:cs="宋体" w:asciiTheme="minorEastAsia" w:hAnsiTheme="minorEastAsia" w:eastAsiaTheme="minorEastAsia"/>
                <w:color w:val="auto"/>
                <w:szCs w:val="21"/>
                <w:highlight w:val="none"/>
              </w:rPr>
              <w:t xml:space="preserve">专业</w:t>
            </w:r>
            <w:r>
              <w:rPr>
                <w:rFonts w:hint="eastAsia" w:ascii="宋体" w:hAnsi="宋体" w:cs="宋体"/>
                <w:color w:val="auto"/>
                <w:szCs w:val="21"/>
                <w:highlight w:val="none"/>
              </w:rPr>
              <w:t xml:space="preserve">智能化和终端服务</w:t>
            </w:r>
            <w:r>
              <w:rPr>
                <w:rFonts w:hint="eastAsia" w:cs="宋体" w:asciiTheme="minorEastAsia" w:hAnsiTheme="minorEastAsia" w:eastAsiaTheme="minorEastAsia"/>
                <w:color w:val="auto"/>
                <w:szCs w:val="21"/>
                <w:highlight w:val="none"/>
              </w:rPr>
              <w:t xml:space="preserve">工程师</w:t>
            </w:r>
            <w:r>
              <w:rPr>
                <w:rFonts w:hint="eastAsia" w:cs="宋体" w:asciiTheme="minorEastAsia" w:hAnsiTheme="minorEastAsia" w:eastAsiaTheme="minorEastAsia"/>
                <w:color w:val="auto"/>
                <w:szCs w:val="21"/>
                <w:highlight w:val="none"/>
                <w:lang w:val="en-US" w:eastAsia="zh-CN"/>
              </w:rPr>
              <w:t xml:space="preserve">提供</w:t>
            </w:r>
            <w:r/>
          </w:p>
        </w:tc>
      </w:tr>
    </w:tbl>
    <w:p>
      <w:pPr>
        <w:jc w:val="left"/>
        <w:rPr>
          <w:color w:val="auto"/>
          <w:highlight w:val="none"/>
        </w:rPr>
      </w:pPr>
      <w:r>
        <w:rPr>
          <w:color w:val="auto"/>
          <w:highlight w:val="none"/>
        </w:rPr>
      </w:r>
      <w:r/>
    </w:p>
    <w:p>
      <w:pPr>
        <w:rPr>
          <w:rFonts w:ascii="宋体" w:hAnsi="宋体"/>
          <w:b/>
          <w:color w:val="auto"/>
          <w:sz w:val="24"/>
          <w:highlight w:val="none"/>
        </w:rPr>
      </w:pPr>
      <w:r>
        <w:rPr>
          <w:rFonts w:hint="eastAsia" w:ascii="宋体" w:hAnsi="宋体"/>
          <w:b/>
          <w:color w:val="auto"/>
          <w:sz w:val="24"/>
          <w:highlight w:val="none"/>
        </w:rPr>
        <w:t xml:space="preserve">备注：</w:t>
      </w:r>
      <w:r/>
    </w:p>
    <w:p>
      <w:pPr>
        <w:ind w:firstLine="527"/>
        <w:jc w:val="left"/>
        <w:spacing w:line="440" w:lineRule="exact"/>
        <w:rPr>
          <w:rFonts w:ascii="宋体" w:hAnsi="宋体"/>
          <w:b/>
          <w:color w:val="auto"/>
          <w:sz w:val="24"/>
          <w:highlight w:val="none"/>
        </w:rPr>
      </w:pPr>
      <w:r>
        <w:rPr>
          <w:rFonts w:hint="eastAsia" w:ascii="宋体" w:hAnsi="宋体"/>
          <w:b/>
          <w:color w:val="auto"/>
          <w:highlight w:val="none"/>
        </w:rPr>
        <w:t xml:space="preserve">★</w:t>
      </w:r>
      <w:r>
        <w:rPr>
          <w:rFonts w:hint="eastAsia" w:ascii="宋体" w:hAnsi="宋体"/>
          <w:b/>
          <w:color w:val="auto"/>
          <w:sz w:val="24"/>
          <w:highlight w:val="none"/>
        </w:rPr>
        <w:t xml:space="preserve">1、成交供应商必须安排本单位正式员工承担本项目的运维工作，不得以任何理由、任何方式将本项目的全部或部分工作对外分包，否则用户方有权单方面终止合同、并由供应商承担违约责任。</w:t>
      </w:r>
      <w:r/>
    </w:p>
    <w:p>
      <w:pPr>
        <w:ind w:firstLine="527"/>
        <w:jc w:val="left"/>
        <w:spacing w:line="440" w:lineRule="exact"/>
        <w:rPr>
          <w:rFonts w:ascii="宋体" w:hAnsi="宋体"/>
          <w:b/>
          <w:color w:val="auto"/>
          <w:sz w:val="24"/>
          <w:highlight w:val="none"/>
        </w:rPr>
      </w:pPr>
      <w:r>
        <w:rPr>
          <w:rFonts w:hint="eastAsia" w:ascii="宋体" w:hAnsi="宋体"/>
          <w:b/>
          <w:color w:val="auto"/>
          <w:highlight w:val="none"/>
        </w:rPr>
        <w:t xml:space="preserve">★</w:t>
      </w:r>
      <w:r>
        <w:rPr>
          <w:rFonts w:hint="eastAsia" w:ascii="宋体" w:hAnsi="宋体"/>
          <w:b/>
          <w:color w:val="auto"/>
          <w:sz w:val="24"/>
          <w:highlight w:val="none"/>
        </w:rPr>
        <w:t xml:space="preserve">2、供应商必须对采购人</w:t>
      </w:r>
      <w:r>
        <w:rPr>
          <w:rFonts w:hint="eastAsia" w:ascii="宋体" w:hAnsi="宋体"/>
          <w:color w:val="auto"/>
          <w:sz w:val="24"/>
          <w:highlight w:val="none"/>
          <w:lang w:val="en-US" w:eastAsia="zh-CN"/>
        </w:rPr>
        <w:t xml:space="preserve">《核心机房软硬件设备维保清单》</w:t>
      </w:r>
      <w:r>
        <w:rPr>
          <w:rFonts w:hint="eastAsia" w:ascii="宋体" w:hAnsi="宋体"/>
          <w:b/>
          <w:color w:val="auto"/>
          <w:sz w:val="24"/>
          <w:highlight w:val="none"/>
        </w:rPr>
        <w:t xml:space="preserve">所有网络和安全设备进行维保。供应商负责维保的设备如损坏无法维修、系统版本无法升级或其他原因导致不能满足正常使用的，供应商须提供不低于原有配置且获得用户认可的新设备，产权归</w:t>
      </w:r>
      <w:r>
        <w:rPr>
          <w:rFonts w:hint="eastAsia" w:ascii="宋体" w:hAnsi="宋体"/>
          <w:b/>
          <w:color w:val="auto"/>
          <w:sz w:val="24"/>
          <w:highlight w:val="none"/>
          <w:lang w:eastAsia="zh-CN"/>
        </w:rPr>
        <w:t xml:space="preserve">采购人</w:t>
      </w:r>
      <w:r>
        <w:rPr>
          <w:rFonts w:hint="eastAsia" w:ascii="宋体" w:hAnsi="宋体"/>
          <w:b/>
          <w:color w:val="auto"/>
          <w:sz w:val="24"/>
          <w:highlight w:val="none"/>
        </w:rPr>
        <w:t xml:space="preserve">所有。对于清单外且在服务期内新接入核心网络架构的关键设备，经双方协商一致，可签订补充协议，维保费用参照类似设备标准另行计算。</w:t>
      </w:r>
      <w:r/>
    </w:p>
    <w:p>
      <w:pPr>
        <w:ind w:firstLine="480"/>
        <w:spacing w:line="440" w:lineRule="exact"/>
        <w:rPr>
          <w:rFonts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w:t>
      </w:r>
      <w:r>
        <w:rPr>
          <w:rFonts w:ascii="宋体" w:hAnsi="宋体"/>
          <w:color w:val="auto"/>
          <w:sz w:val="24"/>
          <w:highlight w:val="none"/>
        </w:rPr>
        <w:t xml:space="preserve">丹阳市“金保工程”</w:t>
      </w:r>
      <w:r>
        <w:rPr>
          <w:rFonts w:hint="eastAsia" w:ascii="宋体" w:hAnsi="宋体"/>
          <w:color w:val="auto"/>
          <w:sz w:val="24"/>
          <w:highlight w:val="none"/>
        </w:rPr>
        <w:t xml:space="preserve">信息</w:t>
      </w:r>
      <w:r>
        <w:rPr>
          <w:rFonts w:ascii="宋体" w:hAnsi="宋体"/>
          <w:color w:val="auto"/>
          <w:sz w:val="24"/>
          <w:highlight w:val="none"/>
        </w:rPr>
        <w:t xml:space="preserve">系统</w:t>
      </w:r>
      <w:r>
        <w:rPr>
          <w:rFonts w:hint="eastAsia" w:ascii="宋体" w:hAnsi="宋体"/>
          <w:color w:val="auto"/>
          <w:sz w:val="24"/>
          <w:highlight w:val="none"/>
        </w:rPr>
        <w:t xml:space="preserve">属于</w:t>
      </w:r>
      <w:r>
        <w:rPr>
          <w:rFonts w:ascii="宋体" w:hAnsi="宋体"/>
          <w:color w:val="auto"/>
          <w:sz w:val="24"/>
          <w:highlight w:val="none"/>
        </w:rPr>
        <w:t xml:space="preserve">7*24小时不间断运行的</w:t>
      </w:r>
      <w:r>
        <w:rPr>
          <w:rFonts w:hint="eastAsia" w:ascii="宋体" w:hAnsi="宋体"/>
          <w:color w:val="auto"/>
          <w:sz w:val="24"/>
          <w:highlight w:val="none"/>
        </w:rPr>
        <w:t xml:space="preserve">特别重要</w:t>
      </w:r>
      <w:r>
        <w:rPr>
          <w:rFonts w:ascii="宋体" w:hAnsi="宋体"/>
          <w:color w:val="auto"/>
          <w:sz w:val="24"/>
          <w:highlight w:val="none"/>
        </w:rPr>
        <w:t xml:space="preserve">业务系统</w:t>
      </w:r>
      <w:r>
        <w:rPr>
          <w:rFonts w:hint="eastAsia" w:ascii="宋体" w:hAnsi="宋体"/>
          <w:color w:val="auto"/>
          <w:sz w:val="24"/>
          <w:highlight w:val="none"/>
        </w:rPr>
        <w:t xml:space="preserve">。目前，丹阳市医疗保障局医保实时结算业务</w:t>
      </w:r>
      <w:r>
        <w:rPr>
          <w:rFonts w:ascii="宋体" w:hAnsi="宋体"/>
          <w:color w:val="auto"/>
          <w:sz w:val="24"/>
          <w:highlight w:val="none"/>
        </w:rPr>
        <w:t xml:space="preserve">系统</w:t>
      </w:r>
      <w:r>
        <w:rPr>
          <w:rFonts w:hint="eastAsia" w:ascii="宋体" w:hAnsi="宋体"/>
          <w:color w:val="auto"/>
          <w:sz w:val="24"/>
          <w:highlight w:val="none"/>
        </w:rPr>
        <w:t xml:space="preserve">也依托于</w:t>
      </w:r>
      <w:r>
        <w:rPr>
          <w:rFonts w:ascii="宋体" w:hAnsi="宋体"/>
          <w:color w:val="auto"/>
          <w:sz w:val="24"/>
          <w:highlight w:val="none"/>
        </w:rPr>
        <w:t xml:space="preserve">“金保工程”</w:t>
      </w:r>
      <w:r>
        <w:rPr>
          <w:rFonts w:hint="eastAsia" w:ascii="宋体" w:hAnsi="宋体"/>
          <w:color w:val="auto"/>
          <w:sz w:val="24"/>
          <w:highlight w:val="none"/>
        </w:rPr>
        <w:t xml:space="preserve">相关信息设备运行。</w:t>
      </w:r>
      <w:r>
        <w:rPr>
          <w:rFonts w:ascii="宋体" w:hAnsi="宋体"/>
          <w:color w:val="auto"/>
          <w:sz w:val="24"/>
          <w:highlight w:val="none"/>
        </w:rPr>
        <w:t xml:space="preserve">“金保工程”</w:t>
      </w:r>
      <w:r>
        <w:rPr>
          <w:rFonts w:hint="eastAsia" w:ascii="宋体" w:hAnsi="宋体"/>
          <w:color w:val="auto"/>
          <w:sz w:val="24"/>
          <w:highlight w:val="none"/>
        </w:rPr>
        <w:t xml:space="preserve">信息</w:t>
      </w:r>
      <w:r>
        <w:rPr>
          <w:rFonts w:ascii="宋体" w:hAnsi="宋体"/>
          <w:color w:val="auto"/>
          <w:sz w:val="24"/>
          <w:highlight w:val="none"/>
        </w:rPr>
        <w:t xml:space="preserve">系统</w:t>
      </w:r>
      <w:r>
        <w:rPr>
          <w:rFonts w:hint="eastAsia" w:ascii="宋体" w:hAnsi="宋体"/>
          <w:color w:val="auto"/>
          <w:sz w:val="24"/>
          <w:highlight w:val="none"/>
        </w:rPr>
        <w:t xml:space="preserve">的</w:t>
      </w:r>
      <w:r>
        <w:rPr>
          <w:rFonts w:ascii="宋体" w:hAnsi="宋体"/>
          <w:color w:val="auto"/>
          <w:sz w:val="24"/>
          <w:highlight w:val="none"/>
        </w:rPr>
        <w:t xml:space="preserve">安全直接关系到我市</w:t>
      </w:r>
      <w:r>
        <w:rPr>
          <w:rFonts w:hint="eastAsia" w:ascii="宋体" w:hAnsi="宋体"/>
          <w:color w:val="auto"/>
          <w:sz w:val="24"/>
          <w:highlight w:val="none"/>
        </w:rPr>
        <w:t xml:space="preserve">广大社会保险、医疗保险参保群众以及就诊患者的切身利益。同时，本项目的维保设备以及服务地点分布于丹阳市内以及街道、乡镇、社区等的分散位置。因此，采购人建议各潜在供应商实地察看本项目的现场情况，并根据用户方需求制定有针对性的服务方案。</w:t>
      </w:r>
      <w:r/>
    </w:p>
    <w:p>
      <w:pPr>
        <w:ind w:right="-649"/>
        <w:jc w:val="left"/>
        <w:spacing w:line="480" w:lineRule="auto"/>
        <w:rPr>
          <w:rFonts w:ascii="宋体" w:hAnsi="宋体"/>
          <w:color w:val="auto"/>
          <w:szCs w:val="21"/>
          <w:highlight w:val="none"/>
        </w:rPr>
      </w:pPr>
      <w:r>
        <w:rPr>
          <w:rFonts w:ascii="宋体" w:hAnsi="宋体"/>
          <w:color w:val="auto"/>
          <w:szCs w:val="21"/>
          <w:highlight w:val="none"/>
        </w:rPr>
      </w:r>
      <w:r/>
    </w:p>
    <w:p>
      <w:pPr>
        <w:spacing w:line="440" w:lineRule="exact"/>
        <w:rPr>
          <w:rFonts w:ascii="宋体" w:hAnsi="宋体"/>
          <w:b/>
          <w:color w:val="auto"/>
          <w:sz w:val="24"/>
          <w:highlight w:val="none"/>
        </w:rPr>
        <w:outlineLvl w:val="0"/>
      </w:pPr>
      <w:r>
        <w:rPr>
          <w:rFonts w:hint="eastAsia" w:ascii="宋体" w:hAnsi="宋体"/>
          <w:b/>
          <w:color w:val="auto"/>
          <w:sz w:val="24"/>
          <w:highlight w:val="none"/>
        </w:rPr>
        <w:t xml:space="preserve">★</w:t>
      </w:r>
      <w:r>
        <w:rPr>
          <w:rFonts w:hint="eastAsia" w:ascii="宋体" w:hAnsi="宋体"/>
          <w:b/>
          <w:color w:val="auto"/>
          <w:sz w:val="24"/>
          <w:highlight w:val="none"/>
          <w:lang w:eastAsia="zh-CN"/>
        </w:rPr>
        <w:t xml:space="preserve">六</w:t>
      </w:r>
      <w:r>
        <w:rPr>
          <w:rFonts w:hint="eastAsia" w:ascii="宋体" w:hAnsi="宋体"/>
          <w:b/>
          <w:color w:val="auto"/>
          <w:sz w:val="24"/>
          <w:highlight w:val="none"/>
        </w:rPr>
        <w:t xml:space="preserve">、服务团队要求</w:t>
      </w:r>
      <w:r/>
    </w:p>
    <w:p>
      <w:pPr>
        <w:ind w:firstLine="482"/>
        <w:jc w:val="left"/>
        <w:spacing w:line="440" w:lineRule="exact"/>
        <w:rPr>
          <w:rFonts w:ascii="宋体" w:hAnsi="宋体"/>
          <w:b/>
          <w:color w:val="auto"/>
          <w:sz w:val="24"/>
          <w:highlight w:val="none"/>
        </w:rPr>
      </w:pPr>
      <w:r>
        <w:rPr>
          <w:rFonts w:hint="eastAsia" w:ascii="宋体" w:hAnsi="宋体"/>
          <w:b/>
          <w:color w:val="auto"/>
          <w:sz w:val="24"/>
          <w:highlight w:val="none"/>
        </w:rPr>
        <w:t xml:space="preserve">供应商应</w:t>
      </w:r>
      <w:r>
        <w:rPr>
          <w:rFonts w:ascii="宋体" w:hAnsi="宋体"/>
          <w:b/>
          <w:color w:val="auto"/>
          <w:sz w:val="24"/>
          <w:highlight w:val="none"/>
        </w:rPr>
        <w:t xml:space="preserve">针对本</w:t>
      </w:r>
      <w:r>
        <w:rPr>
          <w:rFonts w:hint="eastAsia" w:ascii="宋体" w:hAnsi="宋体"/>
          <w:b/>
          <w:color w:val="auto"/>
          <w:sz w:val="24"/>
          <w:highlight w:val="none"/>
        </w:rPr>
        <w:t xml:space="preserve">维保</w:t>
      </w:r>
      <w:r>
        <w:rPr>
          <w:rFonts w:ascii="宋体" w:hAnsi="宋体"/>
          <w:b/>
          <w:color w:val="auto"/>
          <w:sz w:val="24"/>
          <w:highlight w:val="none"/>
        </w:rPr>
        <w:t xml:space="preserve">项目组建</w:t>
      </w:r>
      <w:r>
        <w:rPr>
          <w:rFonts w:hint="eastAsia" w:ascii="宋体" w:hAnsi="宋体"/>
          <w:b/>
          <w:color w:val="auto"/>
          <w:sz w:val="24"/>
          <w:highlight w:val="none"/>
        </w:rPr>
        <w:t xml:space="preserve">专业工程师服务团队</w:t>
      </w:r>
      <w:r>
        <w:rPr>
          <w:rFonts w:hint="eastAsia" w:ascii="宋体" w:hAnsi="宋体"/>
          <w:b/>
          <w:color w:val="auto"/>
          <w:sz w:val="24"/>
          <w:highlight w:val="none"/>
          <w:lang w:eastAsia="zh-CN"/>
        </w:rPr>
        <w:t xml:space="preserve">（</w:t>
      </w:r>
      <w:r>
        <w:rPr>
          <w:rFonts w:hint="eastAsia" w:ascii="宋体" w:hAnsi="宋体"/>
          <w:b/>
          <w:color w:val="auto"/>
          <w:sz w:val="24"/>
          <w:highlight w:val="none"/>
          <w:lang w:val="en-US" w:eastAsia="zh-CN"/>
        </w:rPr>
        <w:t xml:space="preserve">包括两名驻场工程师：网络和安全服务驻场工程师、智能化和终端服务驻场工程师</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，服务</w:t>
      </w:r>
      <w:r>
        <w:rPr>
          <w:rFonts w:ascii="宋体" w:hAnsi="宋体"/>
          <w:b/>
          <w:color w:val="auto"/>
          <w:sz w:val="24"/>
          <w:highlight w:val="none"/>
        </w:rPr>
        <w:t xml:space="preserve">团队成员</w:t>
      </w:r>
      <w:r>
        <w:rPr>
          <w:rFonts w:hint="eastAsia" w:ascii="宋体" w:hAnsi="宋体"/>
          <w:b/>
          <w:color w:val="auto"/>
          <w:sz w:val="24"/>
          <w:highlight w:val="none"/>
        </w:rPr>
        <w:t xml:space="preserve">应具有连续从事网络和安全维护服务</w:t>
      </w:r>
      <w:r>
        <w:rPr>
          <w:rFonts w:hint="eastAsia" w:ascii="宋体" w:hAnsi="宋体"/>
          <w:b/>
          <w:color w:val="auto"/>
          <w:sz w:val="24"/>
          <w:highlight w:val="none"/>
          <w:lang w:val="en-US" w:eastAsia="zh-CN"/>
        </w:rPr>
        <w:t xml:space="preserve">2</w:t>
      </w:r>
      <w:r>
        <w:rPr>
          <w:rFonts w:hint="eastAsia" w:ascii="宋体" w:hAnsi="宋体"/>
          <w:b/>
          <w:color w:val="auto"/>
          <w:sz w:val="24"/>
          <w:highlight w:val="none"/>
        </w:rPr>
        <w:t xml:space="preserve">年以上的工作经验。服务期内，供应商必须响应此条款，否则将被定义为非实质性响应招标文件。</w:t>
      </w:r>
      <w:r/>
    </w:p>
    <w:p>
      <w:pPr>
        <w:jc w:val="left"/>
        <w:spacing w:line="440" w:lineRule="exact"/>
        <w:rPr>
          <w:rFonts w:ascii="宋体" w:hAnsi="宋体"/>
          <w:b/>
          <w:color w:val="auto"/>
          <w:sz w:val="24"/>
          <w:highlight w:val="none"/>
        </w:rPr>
      </w:pPr>
      <w:r>
        <w:rPr>
          <w:rFonts w:ascii="宋体" w:hAnsi="宋体"/>
          <w:b/>
          <w:color w:val="auto"/>
          <w:sz w:val="24"/>
          <w:highlight w:val="none"/>
        </w:rPr>
      </w:r>
      <w:r/>
    </w:p>
    <w:p>
      <w:pPr>
        <w:spacing w:line="440" w:lineRule="exact"/>
        <w:rPr>
          <w:rFonts w:ascii="宋体" w:hAnsi="宋体"/>
          <w:b/>
          <w:color w:val="auto"/>
          <w:sz w:val="24"/>
          <w:highlight w:val="none"/>
        </w:rPr>
        <w:outlineLvl w:val="0"/>
      </w:pPr>
      <w:r>
        <w:rPr>
          <w:rFonts w:hint="eastAsia" w:ascii="宋体" w:hAnsi="宋体"/>
          <w:b/>
          <w:color w:val="auto"/>
          <w:sz w:val="24"/>
          <w:highlight w:val="none"/>
          <w:lang w:eastAsia="zh-CN"/>
        </w:rPr>
        <w:t xml:space="preserve">七</w:t>
      </w:r>
      <w:r>
        <w:rPr>
          <w:rFonts w:hint="eastAsia" w:ascii="宋体" w:hAnsi="宋体"/>
          <w:b/>
          <w:color w:val="auto"/>
          <w:sz w:val="24"/>
          <w:highlight w:val="none"/>
        </w:rPr>
        <w:t xml:space="preserve">、服务质量保证</w:t>
      </w:r>
      <w:r/>
    </w:p>
    <w:p>
      <w:pPr>
        <w:jc w:val="left"/>
        <w:spacing w:line="440" w:lineRule="exact"/>
        <w:rPr>
          <w:rFonts w:ascii="宋体" w:hAnsi="宋体"/>
          <w:color w:val="auto"/>
          <w:sz w:val="24"/>
          <w:highlight w:val="none"/>
        </w:rPr>
      </w:pPr>
      <w:r>
        <w:rPr>
          <w:rFonts w:hint="eastAsia" w:ascii="宋体" w:hAnsi="宋体"/>
          <w:color w:val="auto"/>
          <w:sz w:val="24"/>
          <w:highlight w:val="none"/>
        </w:rPr>
        <w:t xml:space="preserve">  1、服务响应时间：未在规定时间内响应的或未在规定时间内修复故障按</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000元/次扣除合同款。</w:t>
      </w:r>
      <w:r/>
    </w:p>
    <w:p>
      <w:pPr>
        <w:jc w:val="left"/>
        <w:spacing w:line="440" w:lineRule="exact"/>
        <w:rPr>
          <w:rFonts w:ascii="宋体" w:hAnsi="宋体"/>
          <w:color w:val="auto"/>
          <w:sz w:val="24"/>
          <w:highlight w:val="none"/>
        </w:rPr>
      </w:pPr>
      <w:r>
        <w:rPr>
          <w:rFonts w:hint="eastAsia" w:ascii="宋体" w:hAnsi="宋体"/>
          <w:color w:val="auto"/>
          <w:sz w:val="24"/>
          <w:highlight w:val="none"/>
        </w:rPr>
        <w:t xml:space="preserve">  2、未按合同要求保质保量完成日常巡检、月度巡检养护工作的，按</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000元/次扣除合同款。</w:t>
      </w:r>
      <w:r/>
    </w:p>
    <w:p>
      <w:pPr>
        <w:jc w:val="left"/>
        <w:spacing w:line="440" w:lineRule="exact"/>
        <w:rPr>
          <w:rFonts w:ascii="宋体" w:hAnsi="宋体"/>
          <w:color w:val="auto"/>
          <w:sz w:val="24"/>
          <w:highlight w:val="none"/>
        </w:rPr>
      </w:pPr>
      <w:r>
        <w:rPr>
          <w:rFonts w:hint="eastAsia" w:ascii="宋体" w:hAnsi="宋体"/>
          <w:color w:val="auto"/>
          <w:sz w:val="24"/>
          <w:highlight w:val="none"/>
        </w:rPr>
        <w:t xml:space="preserve">  3、未在规定时间内提交日常巡检记录、月度巡检记录、抢修记录、运维总结的，按</w:t>
      </w:r>
      <w:r>
        <w:rPr>
          <w:rFonts w:ascii="宋体" w:hAnsi="宋体"/>
          <w:color w:val="auto"/>
          <w:sz w:val="24"/>
          <w:highlight w:val="none"/>
        </w:rPr>
        <w:t xml:space="preserve">2</w:t>
      </w:r>
      <w:r>
        <w:rPr>
          <w:rFonts w:hint="eastAsia" w:ascii="宋体" w:hAnsi="宋体"/>
          <w:color w:val="auto"/>
          <w:sz w:val="24"/>
          <w:highlight w:val="none"/>
        </w:rPr>
        <w:t xml:space="preserve">000元/次扣除合同款。</w:t>
      </w:r>
      <w:r/>
    </w:p>
    <w:p>
      <w:pPr>
        <w:jc w:val="left"/>
        <w:spacing w:line="440" w:lineRule="exact"/>
        <w:rPr>
          <w:rFonts w:ascii="宋体" w:hAnsi="宋体"/>
          <w:color w:val="auto"/>
          <w:sz w:val="24"/>
          <w:highlight w:val="none"/>
        </w:rPr>
      </w:pPr>
      <w:r>
        <w:rPr>
          <w:rFonts w:hint="eastAsia" w:ascii="宋体" w:hAnsi="宋体"/>
          <w:color w:val="auto"/>
          <w:sz w:val="24"/>
          <w:highlight w:val="none"/>
        </w:rPr>
        <w:t xml:space="preserve">  4、服务质量严重不到位的，采购人将对供应商处以整改通知书，供应商收到整改通知书后应于一周内向采购人提交整改报告。若逾期不提交整改报告或一年之内被二次处以整改通知书的，则视作</w:t>
      </w:r>
      <w:r>
        <w:rPr>
          <w:rFonts w:hint="eastAsia" w:ascii="宋体" w:hAnsi="宋体"/>
          <w:color w:val="auto"/>
          <w:sz w:val="24"/>
          <w:highlight w:val="none"/>
          <w:lang w:eastAsia="zh-CN"/>
        </w:rPr>
        <w:t xml:space="preserve">合同违约</w:t>
      </w:r>
      <w:r>
        <w:rPr>
          <w:rFonts w:hint="eastAsia" w:ascii="宋体" w:hAnsi="宋体"/>
          <w:color w:val="auto"/>
          <w:sz w:val="24"/>
          <w:highlight w:val="none"/>
        </w:rPr>
        <w:t xml:space="preserve">，另选供应商继续当年的维保工作，期间产生的费用由原供应商承担。</w:t>
      </w:r>
      <w:r/>
    </w:p>
    <w:p>
      <w:pPr>
        <w:jc w:val="left"/>
        <w:spacing w:line="440" w:lineRule="exact"/>
        <w:rPr>
          <w:rFonts w:ascii="宋体" w:hAnsi="宋体"/>
          <w:b/>
          <w:color w:val="auto"/>
          <w:sz w:val="24"/>
          <w:highlight w:val="none"/>
        </w:rPr>
      </w:pPr>
      <w:r>
        <w:rPr>
          <w:rFonts w:hint="eastAsia" w:ascii="宋体" w:hAnsi="宋体"/>
          <w:b/>
          <w:color w:val="auto"/>
          <w:sz w:val="24"/>
          <w:highlight w:val="none"/>
        </w:rPr>
        <w:t xml:space="preserve"> </w:t>
      </w:r>
      <w:r/>
    </w:p>
    <w:p>
      <w:pPr>
        <w:spacing w:line="440" w:lineRule="exact"/>
        <w:rPr>
          <w:rFonts w:ascii="宋体" w:hAnsi="宋体"/>
          <w:b/>
          <w:color w:val="auto"/>
          <w:sz w:val="24"/>
          <w:highlight w:val="none"/>
        </w:rPr>
        <w:outlineLvl w:val="0"/>
      </w:pPr>
      <w:r>
        <w:rPr>
          <w:rFonts w:hint="eastAsia" w:ascii="宋体" w:hAnsi="宋体"/>
          <w:b/>
          <w:color w:val="auto"/>
          <w:sz w:val="24"/>
          <w:highlight w:val="none"/>
          <w:lang w:eastAsia="zh-CN"/>
        </w:rPr>
        <w:t xml:space="preserve">八</w:t>
      </w:r>
      <w:r>
        <w:rPr>
          <w:rFonts w:hint="eastAsia" w:ascii="宋体" w:hAnsi="宋体"/>
          <w:b/>
          <w:color w:val="auto"/>
          <w:sz w:val="24"/>
          <w:highlight w:val="none"/>
        </w:rPr>
        <w:t xml:space="preserve">、验收标准和方法</w:t>
      </w:r>
      <w:r/>
    </w:p>
    <w:p>
      <w:pPr>
        <w:jc w:val="left"/>
        <w:spacing w:line="440" w:lineRule="exact"/>
        <w:rPr>
          <w:rFonts w:ascii="宋体" w:hAnsi="宋体"/>
          <w:color w:val="auto"/>
          <w:sz w:val="24"/>
          <w:highlight w:val="none"/>
        </w:rPr>
      </w:pPr>
      <w:r>
        <w:rPr>
          <w:rFonts w:hint="eastAsia" w:ascii="宋体" w:hAnsi="宋体"/>
          <w:color w:val="auto"/>
          <w:sz w:val="24"/>
          <w:highlight w:val="none"/>
        </w:rPr>
        <w:t xml:space="preserve">  1、提交维保信息登记表、日常巡检记录表、月度巡检记录表、年度维保总结报告、故障抢修报告及设备维修更换清单等。要求内容记录完整准确。</w:t>
      </w:r>
      <w:r/>
    </w:p>
    <w:p>
      <w:pPr>
        <w:jc w:val="left"/>
        <w:spacing w:line="440" w:lineRule="exact"/>
        <w:rPr>
          <w:rFonts w:ascii="宋体" w:hAnsi="宋体"/>
          <w:color w:val="auto"/>
          <w:sz w:val="24"/>
          <w:highlight w:val="none"/>
        </w:rPr>
      </w:pPr>
      <w:r>
        <w:rPr>
          <w:rFonts w:hint="eastAsia" w:ascii="宋体" w:hAnsi="宋体"/>
          <w:color w:val="auto"/>
          <w:sz w:val="24"/>
          <w:highlight w:val="none"/>
        </w:rPr>
        <w:t xml:space="preserve">  2、全年系统运行是否正常、维保服务方工程师服务质量是否符合采购人要求等。</w:t>
      </w:r>
      <w:r/>
    </w:p>
    <w:p>
      <w:pPr>
        <w:spacing w:line="440" w:lineRule="exact"/>
        <w:rPr>
          <w:rFonts w:ascii="宋体" w:hAnsi="宋体"/>
          <w:color w:val="auto"/>
          <w:sz w:val="24"/>
          <w:highlight w:val="none"/>
        </w:rPr>
      </w:pPr>
      <w:r>
        <w:rPr>
          <w:rFonts w:hint="eastAsia" w:ascii="宋体" w:hAnsi="宋体"/>
          <w:color w:val="auto"/>
          <w:sz w:val="24"/>
          <w:highlight w:val="none"/>
        </w:rPr>
        <w:t xml:space="preserve">  3、采购人负责对服务质量进行评审，并在各类记录表上签字确认。</w:t>
      </w:r>
      <w:r/>
    </w:p>
    <w:p>
      <w:pPr>
        <w:spacing w:line="360" w:lineRule="auto"/>
        <w:rPr>
          <w:rFonts w:ascii="宋体" w:hAnsi="宋体"/>
          <w:color w:val="auto"/>
          <w:szCs w:val="21"/>
          <w:highlight w:val="none"/>
        </w:rPr>
      </w:pPr>
      <w:r>
        <w:rPr>
          <w:rFonts w:hint="eastAsia" w:ascii="宋体" w:hAnsi="宋体"/>
          <w:b/>
          <w:color w:val="auto"/>
          <w:sz w:val="24"/>
          <w:highlight w:val="none"/>
          <w:lang w:eastAsia="zh-CN"/>
        </w:rPr>
        <w:t xml:space="preserve">九</w:t>
      </w:r>
      <w:r>
        <w:rPr>
          <w:rFonts w:hint="eastAsia" w:ascii="宋体" w:hAnsi="宋体"/>
          <w:b/>
          <w:color w:val="auto"/>
          <w:sz w:val="24"/>
          <w:highlight w:val="none"/>
        </w:rPr>
        <w:t xml:space="preserve">、</w:t>
      </w:r>
      <w:r>
        <w:rPr>
          <w:rFonts w:hint="eastAsia" w:ascii="宋体" w:hAnsi="宋体"/>
          <w:b/>
          <w:color w:val="auto"/>
          <w:sz w:val="24"/>
          <w:highlight w:val="none"/>
          <w:lang w:eastAsia="zh-CN"/>
        </w:rPr>
        <w:t xml:space="preserve">项目</w:t>
      </w:r>
      <w:r>
        <w:rPr>
          <w:rFonts w:hint="eastAsia" w:ascii="宋体" w:hAnsi="宋体"/>
          <w:b/>
          <w:color w:val="auto"/>
          <w:sz w:val="24"/>
          <w:highlight w:val="none"/>
        </w:rPr>
        <w:t xml:space="preserve">服务要求：</w:t>
      </w:r>
      <w:r/>
    </w:p>
    <w:p>
      <w:pPr>
        <w:ind w:firstLine="240"/>
        <w:jc w:val="left"/>
        <w:spacing w:line="440" w:lineRule="exact"/>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供应商需</w:t>
      </w:r>
      <w:r>
        <w:rPr>
          <w:rFonts w:hint="eastAsia" w:ascii="宋体" w:hAnsi="宋体"/>
          <w:color w:val="auto"/>
          <w:sz w:val="24"/>
          <w:highlight w:val="none"/>
        </w:rPr>
        <w:t xml:space="preserve">提供系统日常巡检服务；</w:t>
      </w:r>
      <w:r/>
    </w:p>
    <w:p>
      <w:pPr>
        <w:ind w:firstLine="240"/>
        <w:jc w:val="left"/>
        <w:spacing w:line="44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eastAsia="zh-CN"/>
        </w:rPr>
        <w:t xml:space="preserve">供应商需</w:t>
      </w:r>
      <w:r>
        <w:rPr>
          <w:rFonts w:hint="eastAsia" w:ascii="宋体" w:hAnsi="宋体"/>
          <w:color w:val="auto"/>
          <w:sz w:val="24"/>
          <w:highlight w:val="none"/>
        </w:rPr>
        <w:t xml:space="preserve">提供每月设备养护；</w:t>
      </w:r>
      <w:r/>
    </w:p>
    <w:p>
      <w:pPr>
        <w:ind w:firstLine="240"/>
        <w:jc w:val="left"/>
        <w:spacing w:line="440" w:lineRule="exact"/>
        <w:rPr>
          <w:rFonts w:hint="eastAsia" w:ascii="宋体" w:hAnsi="宋体"/>
          <w:color w:val="auto"/>
          <w:sz w:val="24"/>
          <w:highlight w:val="none"/>
        </w:rPr>
      </w:pPr>
      <w:r>
        <w:rPr>
          <w:rFonts w:hint="eastAsia" w:ascii="宋体" w:hAnsi="宋体"/>
          <w:color w:val="auto"/>
          <w:sz w:val="24"/>
          <w:highlight w:val="none"/>
        </w:rPr>
        <w:t xml:space="preserve">3、当出现硬件系统问题或需要调整硬件系统结构时，</w:t>
      </w:r>
      <w:r>
        <w:rPr>
          <w:rFonts w:hint="eastAsia" w:ascii="宋体" w:hAnsi="宋体"/>
          <w:color w:val="auto"/>
          <w:sz w:val="24"/>
          <w:highlight w:val="none"/>
          <w:lang w:eastAsia="zh-CN"/>
        </w:rPr>
        <w:t xml:space="preserve">供应商需</w:t>
      </w:r>
      <w:r>
        <w:rPr>
          <w:rFonts w:hint="eastAsia" w:ascii="宋体" w:hAnsi="宋体"/>
          <w:color w:val="auto"/>
          <w:sz w:val="24"/>
          <w:highlight w:val="none"/>
        </w:rPr>
        <w:t xml:space="preserve">及时安排经验丰富的工程师制定解决方案，并协助采购人实施直至问题得到解决。</w:t>
      </w:r>
      <w:r/>
    </w:p>
    <w:p>
      <w:pPr>
        <w:ind w:firstLine="240"/>
        <w:jc w:val="left"/>
        <w:spacing w:line="440" w:lineRule="exact"/>
        <w:rPr>
          <w:rFonts w:hint="eastAsia"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eastAsia="zh-CN"/>
        </w:rPr>
        <w:t xml:space="preserve">供应商需</w:t>
      </w:r>
      <w:r>
        <w:rPr>
          <w:rFonts w:hint="eastAsia" w:ascii="宋体" w:hAnsi="宋体"/>
          <w:color w:val="auto"/>
          <w:sz w:val="24"/>
          <w:highlight w:val="none"/>
        </w:rPr>
        <w:t xml:space="preserve">提供全天候7*24小时的技术服务，故障抢修的响应时间和故障处置时间</w:t>
      </w:r>
      <w:r>
        <w:rPr>
          <w:rFonts w:hint="eastAsia" w:ascii="宋体" w:hAnsi="宋体"/>
          <w:color w:val="auto"/>
          <w:sz w:val="24"/>
          <w:highlight w:val="none"/>
          <w:lang w:eastAsia="zh-CN"/>
        </w:rPr>
        <w:t xml:space="preserve">需</w:t>
      </w:r>
      <w:r>
        <w:rPr>
          <w:rFonts w:hint="eastAsia" w:ascii="宋体" w:hAnsi="宋体"/>
          <w:color w:val="auto"/>
          <w:sz w:val="24"/>
          <w:highlight w:val="none"/>
        </w:rPr>
        <w:t xml:space="preserve">满足</w:t>
      </w:r>
      <w:r>
        <w:rPr>
          <w:rFonts w:hint="eastAsia" w:ascii="宋体" w:hAnsi="宋体"/>
          <w:color w:val="auto"/>
          <w:sz w:val="24"/>
          <w:highlight w:val="none"/>
          <w:lang w:eastAsia="zh-CN"/>
        </w:rPr>
        <w:t xml:space="preserve">磋商</w:t>
      </w:r>
      <w:r>
        <w:rPr>
          <w:rFonts w:hint="eastAsia" w:ascii="宋体" w:hAnsi="宋体"/>
          <w:color w:val="auto"/>
          <w:sz w:val="24"/>
          <w:highlight w:val="none"/>
        </w:rPr>
        <w:t xml:space="preserve">文件</w:t>
      </w:r>
      <w:r>
        <w:rPr>
          <w:rFonts w:hint="eastAsia" w:ascii="宋体" w:hAnsi="宋体"/>
          <w:color w:val="auto"/>
          <w:sz w:val="24"/>
          <w:highlight w:val="none"/>
          <w:lang w:eastAsia="zh-CN"/>
        </w:rPr>
        <w:t xml:space="preserve">的</w:t>
      </w:r>
      <w:r>
        <w:rPr>
          <w:rFonts w:hint="eastAsia" w:ascii="宋体" w:hAnsi="宋体"/>
          <w:color w:val="auto"/>
          <w:sz w:val="24"/>
          <w:highlight w:val="none"/>
        </w:rPr>
        <w:t xml:space="preserve">要求。</w:t>
      </w:r>
      <w:r/>
    </w:p>
    <w:p>
      <w:pPr>
        <w:ind w:firstLine="240"/>
        <w:jc w:val="left"/>
        <w:spacing w:line="440" w:lineRule="exact"/>
        <w:rPr>
          <w:rFonts w:hint="eastAsia" w:ascii="宋体" w:hAnsi="宋体" w:eastAsia="宋体"/>
          <w:color w:val="auto"/>
          <w:sz w:val="24"/>
          <w:highlight w:val="none"/>
          <w:lang w:eastAsia="zh-CN"/>
        </w:rPr>
      </w:pPr>
      <w:r>
        <w:rPr>
          <w:rFonts w:hint="eastAsia" w:ascii="宋体" w:hAnsi="宋体"/>
          <w:color w:val="auto"/>
          <w:sz w:val="24"/>
          <w:highlight w:val="none"/>
        </w:rPr>
        <w:t xml:space="preserve">5、根据采购人要求，</w:t>
      </w:r>
      <w:r>
        <w:rPr>
          <w:rFonts w:hint="eastAsia" w:ascii="宋体" w:hAnsi="宋体"/>
          <w:color w:val="auto"/>
          <w:sz w:val="24"/>
          <w:highlight w:val="none"/>
          <w:lang w:eastAsia="zh-CN"/>
        </w:rPr>
        <w:t xml:space="preserve">供应商需</w:t>
      </w:r>
      <w:r>
        <w:rPr>
          <w:rFonts w:hint="eastAsia" w:ascii="宋体" w:hAnsi="宋体"/>
          <w:color w:val="auto"/>
          <w:sz w:val="24"/>
          <w:highlight w:val="none"/>
        </w:rPr>
        <w:t xml:space="preserve">做好安全整改、不限次的系统升级、停机维护、设备迁移以及采购人认为应当由供应商完成的网络安全运维工作</w:t>
      </w:r>
      <w:r>
        <w:rPr>
          <w:rFonts w:hint="eastAsia" w:ascii="宋体" w:hAnsi="宋体"/>
          <w:color w:val="auto"/>
          <w:sz w:val="24"/>
          <w:highlight w:val="none"/>
          <w:lang w:eastAsia="zh-CN"/>
        </w:rPr>
        <w:t xml:space="preserve">，包括但不限于采购人基层网点、灾备机房及外联单位边界设备（以采购人书面通知为准）的网络安全策略调整、运维服务等。</w:t>
      </w:r>
      <w:r/>
    </w:p>
    <w:p>
      <w:pPr>
        <w:ind w:firstLine="240"/>
        <w:jc w:val="left"/>
        <w:spacing w:line="440" w:lineRule="exact"/>
        <w:rPr>
          <w:rFonts w:hint="eastAsia" w:ascii="宋体" w:hAnsi="宋体"/>
          <w:color w:val="auto"/>
          <w:sz w:val="24"/>
          <w:highlight w:val="none"/>
        </w:rPr>
      </w:pPr>
      <w:r>
        <w:rPr>
          <w:rFonts w:hint="eastAsia" w:ascii="宋体" w:hAnsi="宋体"/>
          <w:color w:val="auto"/>
          <w:sz w:val="24"/>
          <w:highlight w:val="none"/>
        </w:rPr>
        <w:t xml:space="preserve">6、</w:t>
      </w:r>
      <w:r>
        <w:rPr>
          <w:rFonts w:hint="eastAsia" w:ascii="宋体" w:hAnsi="宋体"/>
          <w:color w:val="auto"/>
          <w:sz w:val="24"/>
          <w:highlight w:val="none"/>
          <w:lang w:eastAsia="zh-CN"/>
        </w:rPr>
        <w:t xml:space="preserve">供应商需</w:t>
      </w:r>
      <w:r>
        <w:rPr>
          <w:rFonts w:hint="eastAsia" w:ascii="宋体" w:hAnsi="宋体"/>
          <w:color w:val="auto"/>
          <w:sz w:val="24"/>
          <w:highlight w:val="none"/>
        </w:rPr>
        <w:t xml:space="preserve">按照采购人要求提供技术培训服务；</w:t>
      </w:r>
      <w:r/>
    </w:p>
    <w:p>
      <w:pPr>
        <w:spacing w:line="360" w:lineRule="auto"/>
        <w:rPr>
          <w:rFonts w:ascii="宋体" w:hAnsi="宋体"/>
          <w:color w:val="auto"/>
          <w:szCs w:val="21"/>
          <w:highlight w:val="none"/>
        </w:rPr>
      </w:pPr>
      <w:r>
        <w:rPr>
          <w:rFonts w:ascii="宋体" w:hAnsi="宋体"/>
          <w:color w:val="auto"/>
          <w:szCs w:val="21"/>
          <w:highlight w:val="none"/>
        </w:rPr>
      </w:r>
      <w:r/>
    </w:p>
    <w:p>
      <w:pPr>
        <w:spacing w:line="440" w:lineRule="exact"/>
        <w:rPr>
          <w:rFonts w:hint="eastAsia" w:ascii="宋体" w:hAnsi="宋体"/>
          <w:b/>
          <w:color w:val="auto"/>
          <w:sz w:val="24"/>
          <w:highlight w:val="none"/>
        </w:rPr>
        <w:outlineLvl w:val="0"/>
      </w:pPr>
      <w:r>
        <w:rPr>
          <w:rFonts w:hint="eastAsia" w:ascii="宋体" w:hAnsi="宋体"/>
          <w:b/>
          <w:color w:val="auto"/>
          <w:sz w:val="24"/>
          <w:highlight w:val="none"/>
        </w:rPr>
      </w:r>
      <w:r/>
    </w:p>
    <w:p>
      <w:pPr>
        <w:spacing w:line="440" w:lineRule="exact"/>
        <w:rPr>
          <w:rFonts w:ascii="宋体" w:hAnsi="宋体"/>
          <w:b/>
          <w:color w:val="auto"/>
          <w:sz w:val="24"/>
          <w:highlight w:val="none"/>
        </w:rPr>
        <w:outlineLvl w:val="0"/>
      </w:pPr>
      <w:r>
        <w:rPr>
          <w:rFonts w:hint="eastAsia" w:ascii="宋体" w:hAnsi="宋体"/>
          <w:b/>
          <w:color w:val="auto"/>
          <w:sz w:val="24"/>
          <w:highlight w:val="none"/>
          <w:lang w:val="en-US" w:eastAsia="zh-CN"/>
        </w:rPr>
        <w:t xml:space="preserve">十、</w:t>
      </w:r>
      <w:r>
        <w:rPr>
          <w:rFonts w:hint="eastAsia" w:ascii="宋体" w:hAnsi="宋体"/>
          <w:b/>
          <w:color w:val="auto"/>
          <w:sz w:val="24"/>
          <w:highlight w:val="none"/>
        </w:rPr>
        <w:t xml:space="preserve">服务期限</w:t>
      </w:r>
      <w:r/>
    </w:p>
    <w:p>
      <w:pPr>
        <w:ind w:firstLine="360"/>
        <w:jc w:val="left"/>
        <w:spacing w:line="440" w:lineRule="exact"/>
        <w:rPr>
          <w:rFonts w:hint="default" w:ascii="宋体" w:hAnsi="宋体"/>
          <w:color w:val="auto"/>
          <w:sz w:val="24"/>
          <w:highlight w:val="none"/>
          <w:lang w:val="en-US"/>
        </w:rPr>
      </w:pPr>
      <w:r>
        <w:rPr>
          <w:rFonts w:hint="eastAsia" w:ascii="宋体" w:hAnsi="宋体"/>
          <w:color w:val="auto"/>
          <w:sz w:val="24"/>
          <w:highlight w:val="none"/>
          <w:lang w:val="en-US" w:eastAsia="zh-CN"/>
        </w:rPr>
        <w:t xml:space="preserve">本项目</w:t>
      </w:r>
      <w:r>
        <w:rPr>
          <w:rFonts w:hint="eastAsia" w:ascii="宋体" w:hAnsi="宋体"/>
          <w:color w:val="auto"/>
          <w:sz w:val="24"/>
          <w:highlight w:val="none"/>
        </w:rPr>
        <w:t xml:space="preserve">服务时间为自合同签订之日起3年。</w:t>
      </w:r>
      <w:r/>
    </w:p>
    <w:p>
      <w:pPr>
        <w:jc w:val="left"/>
        <w:rPr>
          <w:color w:val="auto"/>
          <w:highlight w:val="none"/>
        </w:rPr>
      </w:pPr>
      <w:r>
        <w:rPr>
          <w:color w:val="auto"/>
          <w:highlight w:val="none"/>
        </w:rPr>
      </w:r>
      <w:r/>
    </w:p>
    <w:p>
      <w:pPr>
        <w:pStyle w:val="900"/>
        <w:ind w:firstLine="562"/>
        <w:spacing w:line="360" w:lineRule="auto"/>
        <w:rPr>
          <w:rFonts w:hint="eastAsia" w:ascii="Calibri" w:hAnsi="Calibri" w:eastAsia="宋体"/>
          <w:b/>
          <w:color w:val="auto"/>
          <w:sz w:val="28"/>
          <w:szCs w:val="28"/>
          <w:highlight w:val="none"/>
        </w:rPr>
      </w:pPr>
      <w:r>
        <w:rPr>
          <w:rFonts w:hint="eastAsia" w:ascii="Calibri" w:hAnsi="Calibri" w:eastAsia="宋体"/>
          <w:b/>
          <w:color w:val="auto"/>
          <w:sz w:val="28"/>
          <w:szCs w:val="28"/>
          <w:highlight w:val="none"/>
        </w:rPr>
      </w:r>
      <w:r/>
    </w:p>
    <w:p>
      <w:pPr>
        <w:pStyle w:val="900"/>
        <w:ind w:firstLine="562"/>
        <w:spacing w:line="360" w:lineRule="auto"/>
        <w:rPr>
          <w:rStyle w:val="899"/>
          <w:b w:val="0"/>
          <w:color w:val="auto"/>
          <w:sz w:val="28"/>
          <w:szCs w:val="28"/>
          <w:highlight w:val="none"/>
        </w:rPr>
      </w:pPr>
      <w:r>
        <w:rPr>
          <w:rFonts w:hint="eastAsia" w:ascii="Calibri" w:hAnsi="Calibri" w:eastAsia="宋体"/>
          <w:b/>
          <w:color w:val="auto"/>
          <w:sz w:val="28"/>
          <w:szCs w:val="28"/>
          <w:highlight w:val="none"/>
        </w:rPr>
        <w:t xml:space="preserve">注：对以上采购需求部分的询问、质疑请向采购人提出，由采购人负责解释答复</w:t>
      </w:r>
      <w:r>
        <w:rPr>
          <w:rFonts w:ascii="Calibri" w:hAnsi="Calibri" w:eastAsia="宋体"/>
          <w:b/>
          <w:color w:val="auto"/>
          <w:sz w:val="28"/>
          <w:szCs w:val="28"/>
          <w:highlight w:val="none"/>
        </w:rPr>
        <w:t xml:space="preserve">。</w:t>
      </w:r>
      <w:r/>
    </w:p>
    <w:p>
      <w:pPr>
        <w:jc w:val="center"/>
        <w:rPr>
          <w:rFonts w:ascii="宋体" w:hAnsi="宋体"/>
          <w:b/>
          <w:color w:val="auto"/>
          <w:sz w:val="36"/>
          <w:highlight w:val="none"/>
        </w:rPr>
      </w:pPr>
      <w:r>
        <w:rPr>
          <w:rFonts w:ascii="宋体" w:hAnsi="宋体"/>
          <w:b/>
          <w:color w:val="auto"/>
          <w:sz w:val="36"/>
          <w:highlight w:val="none"/>
        </w:rPr>
        <w:br w:type="page" w:clear="all"/>
      </w:r>
      <w:r>
        <w:rPr>
          <w:rFonts w:hint="eastAsia" w:ascii="宋体" w:hAnsi="宋体"/>
          <w:b/>
          <w:color w:val="auto"/>
          <w:sz w:val="36"/>
          <w:highlight w:val="none"/>
        </w:rPr>
        <w:t xml:space="preserve">第五部分  磋商及评审</w:t>
      </w:r>
      <w:r/>
    </w:p>
    <w:p>
      <w:pPr>
        <w:pStyle w:val="843"/>
        <w:ind w:firstLine="321"/>
        <w:jc w:val="left"/>
        <w:spacing w:line="400" w:lineRule="exact"/>
        <w:rPr>
          <w:rFonts w:ascii="宋体" w:hAnsi="宋体" w:eastAsia="宋体"/>
          <w:color w:val="auto"/>
          <w:sz w:val="32"/>
          <w:highlight w:val="none"/>
        </w:rPr>
      </w:pPr>
      <w:r/>
      <w:bookmarkStart w:id="83" w:name="_Toc57"/>
      <w:r>
        <w:rPr>
          <w:rFonts w:hint="eastAsia" w:ascii="宋体" w:hAnsi="宋体" w:eastAsia="宋体"/>
          <w:color w:val="auto"/>
          <w:sz w:val="32"/>
          <w:highlight w:val="none"/>
        </w:rPr>
        <w:t xml:space="preserve">1．</w:t>
      </w:r>
      <w:r>
        <w:rPr>
          <w:rFonts w:ascii="宋体" w:hAnsi="宋体" w:eastAsia="宋体"/>
          <w:color w:val="auto"/>
          <w:sz w:val="32"/>
          <w:highlight w:val="none"/>
        </w:rPr>
        <w:t xml:space="preserve">磋商小组职责</w:t>
      </w:r>
      <w:bookmarkEnd w:id="83"/>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1.2按照客观、公正、审慎的原则，根据磋商文件规定的评审程序、评审方法和评审标准进行独立评审。</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1.3起草评审报告并进行签署。</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1.4推荐成交供应商。</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1.5向采购人、采购代理机构、财政部门或者其他监督部门报告非法干预评审工作的行为。</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1.6法律、法规和规章规定的其他职责。</w:t>
      </w:r>
      <w:r/>
    </w:p>
    <w:p>
      <w:pPr>
        <w:pStyle w:val="843"/>
        <w:ind w:firstLine="321"/>
        <w:jc w:val="left"/>
        <w:spacing w:line="400" w:lineRule="exact"/>
        <w:rPr>
          <w:rFonts w:ascii="宋体" w:hAnsi="宋体" w:eastAsia="宋体"/>
          <w:color w:val="auto"/>
          <w:sz w:val="32"/>
          <w:highlight w:val="none"/>
        </w:rPr>
      </w:pPr>
      <w:r/>
      <w:bookmarkStart w:id="84" w:name="_Toc58"/>
      <w:r>
        <w:rPr>
          <w:rFonts w:hint="eastAsia" w:ascii="宋体" w:hAnsi="宋体" w:eastAsia="宋体"/>
          <w:color w:val="auto"/>
          <w:sz w:val="32"/>
          <w:highlight w:val="none"/>
        </w:rPr>
        <w:t xml:space="preserve">2．磋商及评审程序</w:t>
      </w:r>
      <w:bookmarkEnd w:id="84"/>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2.1磋商组织方按磋商小组名单核对身份并签到。</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2.2磋商组织方宣布磋商及评审纪律，磋商小组确认有无回避的情形。</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2.3磋商小组推选组长，负责组织磋商及评审活动，采购人代表不得担任组长。</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2.4磋商小组正式评审前，应当对磋商文件进行熟悉和理解，审查磋商文件。</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2.5磋商小组将对供应商进行资格审查，对首次响应文件进行有效性、完整性和响应程度审查。未通过审查的供应商不得参与磋商，磋商小组应在系统中书面告知供应商并说明理由。</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2.6</w:t>
      </w:r>
      <w:r>
        <w:rPr>
          <w:rFonts w:ascii="宋体" w:hAnsi="宋体"/>
          <w:color w:val="auto"/>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w:t>
      </w:r>
      <w:r>
        <w:rPr>
          <w:rFonts w:hint="eastAsia" w:ascii="宋体" w:hAnsi="宋体"/>
          <w:color w:val="auto"/>
          <w:sz w:val="24"/>
          <w:highlight w:val="none"/>
        </w:rPr>
        <w:t xml:space="preserve">在系统中</w:t>
      </w:r>
      <w:r>
        <w:rPr>
          <w:rFonts w:ascii="宋体" w:hAnsi="宋体"/>
          <w:color w:val="auto"/>
          <w:sz w:val="24"/>
          <w:highlight w:val="none"/>
        </w:rPr>
        <w:t xml:space="preserve">以书面形式作出。</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2.7磋商小组应集中与符合要求的单一供应商分别进行磋商，并给予所有参加磋商的供应商平等的磋商机会。</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在系统中以书面形式同时通知所有参加磋商的供应商。</w:t>
      </w:r>
      <w:r/>
    </w:p>
    <w:p>
      <w:pPr>
        <w:ind w:firstLine="424"/>
        <w:spacing w:line="360" w:lineRule="auto"/>
        <w:rPr>
          <w:rFonts w:ascii="宋体" w:hAnsi="宋体"/>
          <w:color w:val="auto"/>
          <w:highlight w:val="none"/>
        </w:rPr>
      </w:pPr>
      <w:r>
        <w:rPr>
          <w:rFonts w:hint="eastAsia" w:ascii="宋体" w:hAnsi="宋体"/>
          <w:color w:val="auto"/>
          <w:sz w:val="24"/>
          <w:highlight w:val="none"/>
        </w:rPr>
        <w:t xml:space="preserve">2.9磋商文件能够详细列明采购标的的技术、服务要求的，磋商结束后，磋商小组应要求所有实质性响应的供应商在规定时间内提交最后报价。</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符合磋商</w:t>
      </w:r>
      <w:r>
        <w:rPr>
          <w:rFonts w:ascii="宋体" w:hAnsi="宋体"/>
          <w:color w:val="auto"/>
          <w:sz w:val="24"/>
          <w:highlight w:val="none"/>
        </w:rPr>
        <w:t xml:space="preserve">文件供应商须知</w:t>
      </w:r>
      <w:r>
        <w:rPr>
          <w:rFonts w:hint="eastAsia" w:ascii="宋体" w:hAnsi="宋体"/>
          <w:color w:val="auto"/>
          <w:sz w:val="24"/>
          <w:highlight w:val="none"/>
        </w:rPr>
        <w:t xml:space="preserve">规定情形的，提交最后报价的供应商可以为</w:t>
      </w:r>
      <w:r>
        <w:rPr>
          <w:rFonts w:ascii="宋体" w:hAnsi="宋体"/>
          <w:color w:val="auto"/>
          <w:sz w:val="24"/>
          <w:highlight w:val="none"/>
        </w:rPr>
        <w:t xml:space="preserve">2</w:t>
      </w:r>
      <w:r>
        <w:rPr>
          <w:rFonts w:hint="eastAsia" w:ascii="宋体" w:hAnsi="宋体"/>
          <w:color w:val="auto"/>
          <w:sz w:val="24"/>
          <w:highlight w:val="none"/>
        </w:rPr>
        <w:t xml:space="preserve">家。</w:t>
      </w:r>
      <w:r/>
    </w:p>
    <w:p>
      <w:pPr>
        <w:ind w:firstLine="424"/>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2.10经磋商确定最终采购需求和提交最后报价的供应商后，磋商小组应对提交最后报价的供应商的响应文件和最后报价进行评审。</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2.12推荐成交候选供应商，并出具书面评审报告。</w:t>
      </w:r>
      <w:r/>
    </w:p>
    <w:p>
      <w:pPr>
        <w:pStyle w:val="843"/>
        <w:ind w:firstLine="321"/>
        <w:jc w:val="left"/>
        <w:spacing w:line="400" w:lineRule="exact"/>
        <w:rPr>
          <w:rFonts w:ascii="宋体" w:hAnsi="宋体" w:eastAsia="宋体"/>
          <w:color w:val="auto"/>
          <w:sz w:val="32"/>
          <w:highlight w:val="none"/>
        </w:rPr>
      </w:pPr>
      <w:r/>
      <w:bookmarkStart w:id="85" w:name="_Toc59"/>
      <w:r>
        <w:rPr>
          <w:rFonts w:hint="eastAsia" w:ascii="宋体" w:hAnsi="宋体" w:eastAsia="宋体"/>
          <w:color w:val="auto"/>
          <w:sz w:val="32"/>
          <w:highlight w:val="none"/>
        </w:rPr>
        <w:t xml:space="preserve">3．供应商资格审查</w:t>
      </w:r>
      <w:bookmarkEnd w:id="85"/>
      <w:r/>
      <w:r/>
    </w:p>
    <w:p>
      <w:pPr>
        <w:ind w:firstLine="480"/>
        <w:spacing w:line="360" w:lineRule="auto"/>
        <w:rPr>
          <w:rFonts w:ascii="宋体" w:hAnsi="宋体"/>
          <w:color w:val="auto"/>
          <w:sz w:val="24"/>
          <w:szCs w:val="28"/>
          <w:highlight w:val="none"/>
        </w:rPr>
      </w:pPr>
      <w:r/>
      <w:bookmarkStart w:id="86" w:name="EBca25f1f2e9864ca3b0b8f62aaa9a4dc1"/>
      <w:r>
        <w:rPr>
          <w:rFonts w:hint="eastAsia" w:ascii="宋体" w:hAnsi="宋体"/>
          <w:color w:val="auto"/>
          <w:sz w:val="24"/>
          <w:szCs w:val="28"/>
          <w:highlight w:val="none"/>
        </w:rPr>
        <w:t xml:space="preserve">☑</w:t>
      </w:r>
      <w:bookmarkEnd w:id="86"/>
      <w:r>
        <w:rPr>
          <w:rFonts w:hint="eastAsia" w:ascii="宋体" w:hAnsi="宋体"/>
          <w:color w:val="auto"/>
          <w:sz w:val="24"/>
          <w:szCs w:val="28"/>
          <w:highlight w:val="none"/>
        </w:rPr>
        <w:t xml:space="preserve">采用资格后审方式</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开启结束后，磋商小组将依法对供应商的资格进行审查。资格审查的内容如下：</w:t>
      </w:r>
      <w:r/>
    </w:p>
    <w:tbl>
      <w:tblPr>
        <w:tblStyle w:val="663"/>
        <w:tblW w:w="96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2"/>
        <w:gridCol w:w="4100"/>
        <w:gridCol w:w="5067"/>
      </w:tblGrid>
      <w:tr>
        <w:trPr/>
        <w:tc>
          <w:tcPr>
            <w:tcW w:w="462" w:type="dxa"/>
            <w:vAlign w:val="top"/>
            <w:textDirection w:val="lrTb"/>
            <w:noWrap w:val="false"/>
          </w:tcPr>
          <w:p>
            <w:pPr>
              <w:jc w:val="center"/>
              <w:spacing w:line="360" w:lineRule="auto"/>
              <w:rPr>
                <w:rFonts w:ascii="宋体" w:hAnsi="宋体" w:cs="楷体"/>
                <w:b/>
                <w:color w:val="auto"/>
                <w:sz w:val="24"/>
                <w:highlight w:val="none"/>
              </w:rPr>
            </w:pPr>
            <w:r/>
            <w:bookmarkStart w:id="87" w:name="EB26dcd70bebb54979b7a4b621de125d2f"/>
            <w:r>
              <w:rPr>
                <w:rFonts w:hint="eastAsia" w:ascii="宋体" w:hAnsi="宋体" w:cs="楷体"/>
                <w:b/>
                <w:color w:val="auto"/>
                <w:sz w:val="24"/>
                <w:highlight w:val="none"/>
              </w:rPr>
              <w:t xml:space="preserve">序号</w:t>
            </w:r>
            <w:r/>
          </w:p>
        </w:tc>
        <w:tc>
          <w:tcPr>
            <w:tcW w:w="4100" w:type="dxa"/>
            <w:vAlign w:val="center"/>
            <w:textDirection w:val="lrTb"/>
            <w:noWrap w:val="false"/>
          </w:tcPr>
          <w:p>
            <w:pPr>
              <w:spacing w:line="360" w:lineRule="auto"/>
              <w:rPr>
                <w:rFonts w:ascii="宋体" w:hAnsi="宋体" w:cs="楷体"/>
                <w:b/>
                <w:color w:val="auto"/>
                <w:sz w:val="24"/>
                <w:highlight w:val="none"/>
              </w:rPr>
            </w:pPr>
            <w:r>
              <w:rPr>
                <w:rFonts w:hint="eastAsia" w:ascii="宋体" w:hAnsi="宋体" w:cs="楷体"/>
                <w:b/>
                <w:color w:val="auto"/>
                <w:sz w:val="24"/>
                <w:highlight w:val="none"/>
              </w:rPr>
              <w:t xml:space="preserve">审查要素</w:t>
            </w:r>
            <w:r/>
          </w:p>
        </w:tc>
        <w:tc>
          <w:tcPr>
            <w:tcW w:w="5067" w:type="dxa"/>
            <w:vAlign w:val="top"/>
            <w:textDirection w:val="lrTb"/>
            <w:noWrap w:val="false"/>
          </w:tcPr>
          <w:p>
            <w:pPr>
              <w:jc w:val="center"/>
              <w:spacing w:line="360" w:lineRule="auto"/>
              <w:rPr>
                <w:rFonts w:ascii="宋体" w:hAnsi="宋体" w:cs="楷体"/>
                <w:b/>
                <w:color w:val="auto"/>
                <w:sz w:val="24"/>
                <w:highlight w:val="none"/>
              </w:rPr>
            </w:pPr>
            <w:r>
              <w:rPr>
                <w:rFonts w:hint="eastAsia" w:ascii="宋体" w:hAnsi="宋体" w:cs="楷体"/>
                <w:b/>
                <w:color w:val="auto"/>
                <w:sz w:val="24"/>
                <w:highlight w:val="none"/>
              </w:rPr>
              <w:t xml:space="preserve">审查内容</w:t>
            </w:r>
            <w:r/>
          </w:p>
        </w:tc>
      </w:tr>
      <w:tr>
        <w:trPr/>
        <w:tc>
          <w:tcPr>
            <w:tcW w:w="462" w:type="dxa"/>
            <w:vAlign w:val="center"/>
            <w:textDirection w:val="lrTb"/>
            <w:noWrap w:val="false"/>
          </w:tcPr>
          <w:p>
            <w:pPr>
              <w:jc w:val="center"/>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p>
        </w:tc>
        <w:tc>
          <w:tcPr>
            <w:tcW w:w="4100" w:type="dxa"/>
            <w:vAlign w:val="center"/>
            <w:textDirection w:val="lrTb"/>
            <w:noWrap w:val="false"/>
          </w:tcPr>
          <w:p>
            <w:pPr>
              <w:spacing w:line="360" w:lineRule="auto"/>
              <w:rPr>
                <w:rFonts w:ascii="宋体" w:hAnsi="宋体" w:cs="楷体"/>
                <w:color w:val="auto"/>
                <w:sz w:val="24"/>
                <w:highlight w:val="none"/>
              </w:rPr>
            </w:pPr>
            <w:r>
              <w:rPr>
                <w:rFonts w:hint="eastAsia" w:ascii="宋体" w:hAnsi="宋体" w:cs="楷体"/>
                <w:color w:val="auto"/>
                <w:sz w:val="24"/>
                <w:highlight w:val="none"/>
              </w:rPr>
              <w:t xml:space="preserve">具有独立承担民事责任的能力</w:t>
            </w:r>
            <w:r/>
          </w:p>
        </w:tc>
        <w:tc>
          <w:tcPr>
            <w:tcW w:w="5067" w:type="dxa"/>
            <w:vAlign w:val="top"/>
            <w:textDirection w:val="lrTb"/>
            <w:noWrap w:val="false"/>
          </w:tcPr>
          <w:p>
            <w:pPr>
              <w:spacing w:line="360" w:lineRule="auto"/>
              <w:rPr>
                <w:rFonts w:ascii="宋体" w:hAnsi="宋体" w:cs="楷体"/>
                <w:color w:val="auto"/>
                <w:sz w:val="24"/>
                <w:highlight w:val="none"/>
              </w:rPr>
            </w:pPr>
            <w:r>
              <w:rPr>
                <w:rFonts w:hint="eastAsia" w:ascii="宋体" w:hAnsi="宋体" w:cs="楷体"/>
                <w:color w:val="auto"/>
                <w:sz w:val="24"/>
                <w:highlight w:val="none"/>
              </w:rPr>
              <w:t xml:space="preserve">提供法人或者其他组织的营业执照等证明文件扫描件；</w:t>
            </w:r>
            <w:r>
              <w:rPr>
                <w:rFonts w:hint="eastAsia" w:ascii="宋体" w:hAnsi="宋体" w:cs="楷体"/>
                <w:color w:val="auto"/>
                <w:sz w:val="24"/>
                <w:highlight w:val="none"/>
                <w:lang w:eastAsia="zh-CN"/>
              </w:rPr>
              <w:t xml:space="preserve">供应商</w:t>
            </w:r>
            <w:r>
              <w:rPr>
                <w:rFonts w:hint="eastAsia" w:ascii="宋体" w:hAnsi="宋体" w:cs="楷体"/>
                <w:color w:val="auto"/>
                <w:sz w:val="24"/>
                <w:highlight w:val="none"/>
              </w:rPr>
              <w:t xml:space="preserve">为自然人的，提供其身份证扫描件</w:t>
            </w:r>
            <w:r/>
          </w:p>
        </w:tc>
      </w:tr>
      <w:tr>
        <w:trPr/>
        <w:tc>
          <w:tcPr>
            <w:tcW w:w="462" w:type="dxa"/>
            <w:vAlign w:val="center"/>
            <w:textDirection w:val="lrTb"/>
            <w:noWrap w:val="false"/>
          </w:tcPr>
          <w:p>
            <w:pPr>
              <w:jc w:val="center"/>
              <w:spacing w:line="360" w:lineRule="auto"/>
              <w:rPr>
                <w:rFonts w:ascii="宋体" w:hAnsi="宋体" w:cs="楷体"/>
                <w:color w:val="auto"/>
                <w:sz w:val="24"/>
                <w:highlight w:val="none"/>
              </w:rPr>
            </w:pPr>
            <w:r>
              <w:rPr>
                <w:rFonts w:hint="eastAsia" w:ascii="宋体" w:hAnsi="宋体" w:cs="楷体"/>
                <w:color w:val="auto"/>
                <w:sz w:val="24"/>
                <w:highlight w:val="none"/>
              </w:rPr>
              <w:t xml:space="preserve">2</w:t>
            </w:r>
            <w:r/>
          </w:p>
        </w:tc>
        <w:tc>
          <w:tcPr>
            <w:tcW w:w="4100" w:type="dxa"/>
            <w:vAlign w:val="center"/>
            <w:textDirection w:val="lrTb"/>
            <w:noWrap w:val="false"/>
          </w:tcPr>
          <w:p>
            <w:pPr>
              <w:spacing w:line="360" w:lineRule="auto"/>
              <w:rPr>
                <w:rFonts w:ascii="宋体" w:hAnsi="宋体" w:cs="楷体"/>
                <w:color w:val="auto"/>
                <w:sz w:val="24"/>
                <w:highlight w:val="none"/>
              </w:rPr>
            </w:pPr>
            <w:r>
              <w:rPr>
                <w:rFonts w:hint="eastAsia" w:ascii="宋体" w:hAnsi="宋体" w:cs="楷体"/>
                <w:color w:val="auto"/>
                <w:sz w:val="24"/>
                <w:highlight w:val="none"/>
              </w:rPr>
              <w:t xml:space="preserve">具有良好的商业信誉和健全的财务会计制度</w:t>
            </w:r>
            <w:r/>
          </w:p>
        </w:tc>
        <w:tc>
          <w:tcPr>
            <w:tcW w:w="5067" w:type="dxa"/>
            <w:vAlign w:val="center"/>
            <w:textDirection w:val="lrTb"/>
            <w:noWrap w:val="false"/>
          </w:tcPr>
          <w:p>
            <w:pPr>
              <w:spacing w:line="360" w:lineRule="auto"/>
              <w:rPr>
                <w:rFonts w:ascii="宋体" w:hAnsi="宋体" w:cs="楷体"/>
                <w:b/>
                <w:color w:val="auto"/>
                <w:sz w:val="24"/>
                <w:highlight w:val="none"/>
              </w:rPr>
            </w:pPr>
            <w:r>
              <w:rPr>
                <w:rFonts w:hint="eastAsia" w:ascii="宋体" w:hAnsi="宋体" w:cs="楷体"/>
                <w:bCs/>
                <w:color w:val="auto"/>
                <w:sz w:val="24"/>
                <w:highlight w:val="none"/>
              </w:rPr>
              <w:t xml:space="preserve">提供</w:t>
            </w:r>
            <w:r>
              <w:rPr>
                <w:rFonts w:hint="eastAsia" w:ascii="宋体" w:hAnsi="宋体" w:cs="楷体"/>
                <w:bCs/>
                <w:color w:val="auto"/>
                <w:sz w:val="24"/>
                <w:highlight w:val="none"/>
                <w:lang w:eastAsia="zh-CN"/>
              </w:rPr>
              <w:t xml:space="preserve">上一</w:t>
            </w:r>
            <w:r>
              <w:rPr>
                <w:rFonts w:hint="eastAsia" w:ascii="宋体" w:hAnsi="宋体" w:cs="楷体"/>
                <w:bCs/>
                <w:color w:val="auto"/>
                <w:sz w:val="24"/>
                <w:highlight w:val="none"/>
                <w:lang w:val="en-US" w:eastAsia="zh-CN"/>
              </w:rPr>
              <w:t xml:space="preserve">年</w:t>
            </w:r>
            <w:r>
              <w:rPr>
                <w:rFonts w:hint="eastAsia" w:ascii="宋体" w:hAnsi="宋体" w:cs="楷体"/>
                <w:bCs/>
                <w:color w:val="auto"/>
                <w:sz w:val="24"/>
                <w:highlight w:val="none"/>
              </w:rPr>
              <w:t xml:space="preserve">度财务报告，成立不满一年的提供至少一个月财务报告，或银行出具的资信证明，或财政部门认可的政府采购专业担保机构出具的投标担保函等；或提供资格承诺函</w:t>
            </w:r>
            <w:r/>
          </w:p>
        </w:tc>
      </w:tr>
      <w:tr>
        <w:trPr/>
        <w:tc>
          <w:tcPr>
            <w:tcW w:w="462" w:type="dxa"/>
            <w:vAlign w:val="center"/>
            <w:textDirection w:val="lrTb"/>
            <w:noWrap w:val="false"/>
          </w:tcPr>
          <w:p>
            <w:pPr>
              <w:jc w:val="center"/>
              <w:spacing w:line="360" w:lineRule="auto"/>
              <w:rPr>
                <w:rFonts w:ascii="宋体" w:hAnsi="宋体" w:cs="楷体"/>
                <w:color w:val="auto"/>
                <w:sz w:val="24"/>
                <w:highlight w:val="none"/>
              </w:rPr>
            </w:pPr>
            <w:r>
              <w:rPr>
                <w:rFonts w:hint="eastAsia" w:ascii="宋体" w:hAnsi="宋体" w:cs="楷体"/>
                <w:color w:val="auto"/>
                <w:sz w:val="24"/>
                <w:highlight w:val="none"/>
              </w:rPr>
              <w:t xml:space="preserve">3</w:t>
            </w:r>
            <w:r/>
          </w:p>
        </w:tc>
        <w:tc>
          <w:tcPr>
            <w:tcW w:w="4100" w:type="dxa"/>
            <w:vAlign w:val="center"/>
            <w:textDirection w:val="lrTb"/>
            <w:noWrap w:val="false"/>
          </w:tcPr>
          <w:p>
            <w:pPr>
              <w:spacing w:line="360" w:lineRule="auto"/>
              <w:rPr>
                <w:rFonts w:ascii="宋体" w:hAnsi="宋体" w:cs="楷体"/>
                <w:color w:val="auto"/>
                <w:sz w:val="24"/>
                <w:highlight w:val="none"/>
              </w:rPr>
            </w:pPr>
            <w:r>
              <w:rPr>
                <w:rFonts w:hint="eastAsia" w:ascii="宋体" w:hAnsi="宋体" w:cs="楷体"/>
                <w:color w:val="auto"/>
                <w:sz w:val="24"/>
                <w:highlight w:val="none"/>
              </w:rPr>
              <w:t xml:space="preserve">具有履行合同所必需的设备和专业技术能力</w:t>
            </w:r>
            <w:r/>
          </w:p>
        </w:tc>
        <w:tc>
          <w:tcPr>
            <w:tcW w:w="5067" w:type="dxa"/>
            <w:vAlign w:val="center"/>
            <w:textDirection w:val="lrTb"/>
            <w:noWrap w:val="false"/>
          </w:tcPr>
          <w:p>
            <w:pPr>
              <w:spacing w:line="360" w:lineRule="auto"/>
              <w:rPr>
                <w:rFonts w:ascii="宋体" w:hAnsi="宋体" w:cs="楷体"/>
                <w:color w:val="auto"/>
                <w:sz w:val="24"/>
                <w:highlight w:val="none"/>
              </w:rPr>
            </w:pPr>
            <w:r>
              <w:rPr>
                <w:rFonts w:hint="eastAsia" w:ascii="宋体" w:hAnsi="宋体" w:cs="楷体"/>
                <w:color w:val="auto"/>
                <w:sz w:val="24"/>
                <w:highlight w:val="none"/>
              </w:rPr>
              <w:t xml:space="preserve">提供声明函或提供资格承诺函</w:t>
            </w:r>
            <w:r/>
          </w:p>
        </w:tc>
      </w:tr>
      <w:tr>
        <w:trPr/>
        <w:tc>
          <w:tcPr>
            <w:tcW w:w="462" w:type="dxa"/>
            <w:vAlign w:val="center"/>
            <w:textDirection w:val="lrTb"/>
            <w:noWrap w:val="false"/>
          </w:tcPr>
          <w:p>
            <w:pPr>
              <w:jc w:val="center"/>
              <w:spacing w:line="360" w:lineRule="auto"/>
              <w:rPr>
                <w:rFonts w:ascii="宋体" w:hAnsi="宋体" w:cs="楷体"/>
                <w:color w:val="auto"/>
                <w:sz w:val="24"/>
                <w:highlight w:val="none"/>
              </w:rPr>
            </w:pPr>
            <w:r>
              <w:rPr>
                <w:rFonts w:hint="eastAsia" w:ascii="宋体" w:hAnsi="宋体" w:cs="楷体"/>
                <w:color w:val="auto"/>
                <w:sz w:val="24"/>
                <w:highlight w:val="none"/>
              </w:rPr>
              <w:t xml:space="preserve">4</w:t>
            </w:r>
            <w:r/>
          </w:p>
        </w:tc>
        <w:tc>
          <w:tcPr>
            <w:tcW w:w="4100" w:type="dxa"/>
            <w:vAlign w:val="center"/>
            <w:textDirection w:val="lrTb"/>
            <w:noWrap w:val="false"/>
          </w:tcPr>
          <w:p>
            <w:pPr>
              <w:spacing w:line="360" w:lineRule="auto"/>
              <w:rPr>
                <w:rFonts w:ascii="宋体" w:hAnsi="宋体" w:cs="楷体"/>
                <w:color w:val="auto"/>
                <w:sz w:val="24"/>
                <w:highlight w:val="none"/>
              </w:rPr>
            </w:pPr>
            <w:r>
              <w:rPr>
                <w:rFonts w:hint="eastAsia" w:ascii="宋体" w:hAnsi="宋体" w:cs="楷体"/>
                <w:color w:val="auto"/>
                <w:sz w:val="24"/>
                <w:highlight w:val="none"/>
              </w:rPr>
              <w:t xml:space="preserve">有依法缴纳税收和社会保障资金的良好记录</w:t>
            </w:r>
            <w:r/>
          </w:p>
        </w:tc>
        <w:tc>
          <w:tcPr>
            <w:tcW w:w="5067" w:type="dxa"/>
            <w:vAlign w:val="center"/>
            <w:textDirection w:val="lrTb"/>
            <w:noWrap w:val="false"/>
          </w:tcPr>
          <w:p>
            <w:pPr>
              <w:spacing w:line="360" w:lineRule="auto"/>
              <w:rPr>
                <w:rFonts w:ascii="宋体" w:hAnsi="宋体" w:cs="楷体"/>
                <w:color w:val="auto"/>
                <w:sz w:val="24"/>
                <w:highlight w:val="none"/>
              </w:rPr>
            </w:pPr>
            <w:r>
              <w:rPr>
                <w:rFonts w:hint="eastAsia" w:ascii="宋体" w:hAnsi="宋体" w:cs="楷体"/>
                <w:color w:val="auto"/>
                <w:sz w:val="24"/>
                <w:highlight w:val="none"/>
              </w:rPr>
              <w:t xml:space="preserve">提供参加本次政府采购活动前半年内（至少一个月）依法缴纳税收和社会保险资金的相关材料；或提供资格承诺函</w:t>
            </w:r>
            <w:r/>
          </w:p>
        </w:tc>
      </w:tr>
      <w:tr>
        <w:trPr/>
        <w:tc>
          <w:tcPr>
            <w:tcW w:w="462" w:type="dxa"/>
            <w:vAlign w:val="center"/>
            <w:textDirection w:val="lrTb"/>
            <w:noWrap w:val="false"/>
          </w:tcPr>
          <w:p>
            <w:pPr>
              <w:jc w:val="center"/>
              <w:spacing w:line="360" w:lineRule="auto"/>
              <w:rPr>
                <w:rFonts w:ascii="宋体" w:hAnsi="宋体" w:cs="楷体"/>
                <w:color w:val="auto"/>
                <w:sz w:val="24"/>
                <w:highlight w:val="none"/>
              </w:rPr>
            </w:pPr>
            <w:r>
              <w:rPr>
                <w:rFonts w:hint="eastAsia" w:ascii="宋体" w:hAnsi="宋体" w:cs="楷体"/>
                <w:color w:val="auto"/>
                <w:sz w:val="24"/>
                <w:highlight w:val="none"/>
              </w:rPr>
              <w:t xml:space="preserve">5</w:t>
            </w:r>
            <w:r/>
          </w:p>
        </w:tc>
        <w:tc>
          <w:tcPr>
            <w:tcW w:w="4100" w:type="dxa"/>
            <w:vAlign w:val="center"/>
            <w:textDirection w:val="lrTb"/>
            <w:noWrap w:val="false"/>
          </w:tcPr>
          <w:p>
            <w:pPr>
              <w:spacing w:line="360" w:lineRule="auto"/>
              <w:rPr>
                <w:rFonts w:ascii="宋体" w:hAnsi="宋体" w:cs="楷体"/>
                <w:color w:val="auto"/>
                <w:sz w:val="24"/>
                <w:highlight w:val="none"/>
              </w:rPr>
            </w:pPr>
            <w:r>
              <w:rPr>
                <w:rFonts w:hint="eastAsia" w:ascii="宋体" w:hAnsi="宋体" w:cs="楷体"/>
                <w:color w:val="auto"/>
                <w:sz w:val="24"/>
                <w:highlight w:val="none"/>
              </w:rPr>
              <w:t xml:space="preserve">参加政府采购活动前三年内，在经营活动中没有重大违法记录</w:t>
            </w:r>
            <w:r/>
          </w:p>
        </w:tc>
        <w:tc>
          <w:tcPr>
            <w:tcW w:w="5067" w:type="dxa"/>
            <w:vAlign w:val="center"/>
            <w:textDirection w:val="lrTb"/>
            <w:noWrap w:val="false"/>
          </w:tcPr>
          <w:p>
            <w:pPr>
              <w:spacing w:line="360" w:lineRule="auto"/>
              <w:rPr>
                <w:rFonts w:ascii="宋体" w:hAnsi="宋体" w:cs="楷体"/>
                <w:color w:val="auto"/>
                <w:sz w:val="24"/>
                <w:szCs w:val="28"/>
                <w:highlight w:val="none"/>
              </w:rPr>
            </w:pPr>
            <w:r>
              <w:rPr>
                <w:rFonts w:hint="eastAsia" w:ascii="宋体" w:hAnsi="宋体" w:cs="楷体"/>
                <w:color w:val="auto"/>
                <w:sz w:val="24"/>
                <w:highlight w:val="none"/>
              </w:rPr>
              <w:t xml:space="preserve">（1）声明函或资格承诺函。</w:t>
            </w:r>
            <w:r/>
          </w:p>
          <w:p>
            <w:pPr>
              <w:spacing w:line="360" w:lineRule="auto"/>
              <w:rPr>
                <w:rFonts w:ascii="宋体" w:hAnsi="宋体" w:cs="楷体"/>
                <w:color w:val="auto"/>
                <w:sz w:val="24"/>
                <w:highlight w:val="none"/>
              </w:rPr>
            </w:pPr>
            <w:r>
              <w:rPr>
                <w:rFonts w:hint="eastAsia" w:ascii="宋体" w:hAnsi="宋体" w:cs="楷体"/>
                <w:color w:val="auto"/>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62" w:type="dxa"/>
            <w:vAlign w:val="center"/>
            <w:textDirection w:val="lrTb"/>
            <w:noWrap w:val="false"/>
          </w:tcPr>
          <w:p>
            <w:pPr>
              <w:jc w:val="center"/>
              <w:spacing w:line="360" w:lineRule="auto"/>
              <w:rPr>
                <w:rFonts w:ascii="宋体" w:hAnsi="宋体" w:cs="楷体"/>
                <w:color w:val="auto"/>
                <w:sz w:val="24"/>
                <w:highlight w:val="none"/>
              </w:rPr>
            </w:pPr>
            <w:r>
              <w:rPr>
                <w:rFonts w:hint="eastAsia" w:ascii="宋体" w:hAnsi="宋体" w:cs="楷体"/>
                <w:color w:val="auto"/>
                <w:sz w:val="24"/>
                <w:highlight w:val="none"/>
              </w:rPr>
              <w:t xml:space="preserve">6</w:t>
            </w:r>
            <w:r/>
          </w:p>
        </w:tc>
        <w:tc>
          <w:tcPr>
            <w:tcW w:w="4100" w:type="dxa"/>
            <w:vAlign w:val="center"/>
            <w:textDirection w:val="lrTb"/>
            <w:noWrap w:val="false"/>
          </w:tcPr>
          <w:p>
            <w:pPr>
              <w:spacing w:line="360" w:lineRule="auto"/>
              <w:rPr>
                <w:rFonts w:ascii="宋体" w:hAnsi="宋体" w:cs="楷体"/>
                <w:color w:val="auto"/>
                <w:sz w:val="24"/>
                <w:highlight w:val="none"/>
              </w:rPr>
            </w:pPr>
            <w:r>
              <w:rPr>
                <w:rFonts w:hint="eastAsia" w:ascii="宋体" w:hAnsi="宋体" w:cs="楷体"/>
                <w:color w:val="auto"/>
                <w:sz w:val="24"/>
                <w:highlight w:val="none"/>
              </w:rPr>
              <w:t xml:space="preserve">法律、行政法规规定的其他条件</w:t>
            </w:r>
            <w:r/>
          </w:p>
        </w:tc>
        <w:tc>
          <w:tcPr>
            <w:tcW w:w="5067" w:type="dxa"/>
            <w:vAlign w:val="center"/>
            <w:textDirection w:val="lrTb"/>
            <w:noWrap w:val="false"/>
          </w:tcPr>
          <w:p>
            <w:pPr>
              <w:spacing w:line="360" w:lineRule="auto"/>
              <w:rPr>
                <w:rFonts w:ascii="宋体" w:hAnsi="宋体" w:cs="楷体"/>
                <w:color w:val="auto"/>
                <w:sz w:val="24"/>
                <w:highlight w:val="none"/>
              </w:rPr>
            </w:pPr>
            <w:r>
              <w:rPr>
                <w:rFonts w:hint="eastAsia" w:ascii="宋体" w:hAnsi="宋体" w:cs="楷体"/>
                <w:color w:val="auto"/>
                <w:sz w:val="24"/>
                <w:szCs w:val="28"/>
                <w:highlight w:val="none"/>
              </w:rPr>
              <w:t xml:space="preserve">无</w:t>
            </w:r>
            <w:r/>
          </w:p>
        </w:tc>
      </w:tr>
      <w:tr>
        <w:trPr/>
        <w:tc>
          <w:tcPr>
            <w:tcW w:w="462" w:type="dxa"/>
            <w:vAlign w:val="center"/>
            <w:textDirection w:val="lrTb"/>
            <w:noWrap w:val="false"/>
          </w:tcPr>
          <w:p>
            <w:pPr>
              <w:jc w:val="center"/>
              <w:spacing w:line="360" w:lineRule="auto"/>
              <w:rPr>
                <w:rFonts w:ascii="宋体" w:hAnsi="宋体" w:cs="楷体"/>
                <w:color w:val="auto"/>
                <w:sz w:val="24"/>
                <w:highlight w:val="none"/>
              </w:rPr>
            </w:pPr>
            <w:r>
              <w:rPr>
                <w:rFonts w:hint="eastAsia" w:ascii="宋体" w:hAnsi="宋体" w:cs="楷体"/>
                <w:color w:val="auto"/>
                <w:sz w:val="24"/>
                <w:highlight w:val="none"/>
              </w:rPr>
              <w:t xml:space="preserve">7</w:t>
            </w:r>
            <w:r/>
          </w:p>
        </w:tc>
        <w:tc>
          <w:tcPr>
            <w:tcW w:w="4100" w:type="dxa"/>
            <w:vAlign w:val="center"/>
            <w:textDirection w:val="lrTb"/>
            <w:noWrap w:val="false"/>
          </w:tcPr>
          <w:p>
            <w:pPr>
              <w:spacing w:line="360" w:lineRule="auto"/>
              <w:rPr>
                <w:rFonts w:ascii="宋体" w:hAnsi="宋体" w:cs="楷体"/>
                <w:color w:val="auto"/>
                <w:sz w:val="24"/>
                <w:highlight w:val="none"/>
              </w:rPr>
            </w:pPr>
            <w:r>
              <w:rPr>
                <w:rFonts w:hint="eastAsia" w:ascii="宋体" w:hAnsi="宋体" w:cs="楷体"/>
                <w:color w:val="auto"/>
                <w:sz w:val="24"/>
                <w:highlight w:val="none"/>
              </w:rPr>
              <w:t xml:space="preserve">落实政府采购政策需满足的资格要求</w:t>
            </w:r>
            <w:r/>
          </w:p>
        </w:tc>
        <w:tc>
          <w:tcPr>
            <w:tcW w:w="5067" w:type="dxa"/>
            <w:vAlign w:val="center"/>
            <w:textDirection w:val="lrTb"/>
            <w:noWrap w:val="false"/>
          </w:tcPr>
          <w:p>
            <w:pPr>
              <w:spacing w:line="360" w:lineRule="auto"/>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提供《中小企业声明函》</w:t>
            </w:r>
            <w:r/>
          </w:p>
        </w:tc>
      </w:tr>
      <w:tr>
        <w:trPr/>
        <w:tc>
          <w:tcPr>
            <w:tcW w:w="462" w:type="dxa"/>
            <w:vAlign w:val="center"/>
            <w:textDirection w:val="lrTb"/>
            <w:noWrap w:val="false"/>
          </w:tcPr>
          <w:p>
            <w:pPr>
              <w:jc w:val="center"/>
              <w:spacing w:line="360" w:lineRule="auto"/>
              <w:rPr>
                <w:rFonts w:ascii="宋体" w:hAnsi="宋体" w:cs="楷体"/>
                <w:color w:val="auto"/>
                <w:sz w:val="24"/>
                <w:highlight w:val="none"/>
              </w:rPr>
            </w:pPr>
            <w:r>
              <w:rPr>
                <w:rFonts w:hint="eastAsia" w:ascii="宋体" w:hAnsi="宋体" w:cs="楷体"/>
                <w:color w:val="auto"/>
                <w:sz w:val="24"/>
                <w:highlight w:val="none"/>
              </w:rPr>
              <w:t xml:space="preserve">8</w:t>
            </w:r>
            <w:r/>
          </w:p>
        </w:tc>
        <w:tc>
          <w:tcPr>
            <w:tcW w:w="4100" w:type="dxa"/>
            <w:vAlign w:val="center"/>
            <w:textDirection w:val="lrTb"/>
            <w:noWrap w:val="false"/>
          </w:tcPr>
          <w:p>
            <w:pPr>
              <w:spacing w:line="360" w:lineRule="auto"/>
              <w:rPr>
                <w:rFonts w:ascii="宋体" w:hAnsi="宋体" w:cs="楷体"/>
                <w:color w:val="auto"/>
                <w:sz w:val="24"/>
                <w:highlight w:val="none"/>
              </w:rPr>
            </w:pPr>
            <w:r>
              <w:rPr>
                <w:rFonts w:hint="eastAsia" w:ascii="宋体" w:hAnsi="宋体" w:cs="楷体"/>
                <w:color w:val="auto"/>
                <w:sz w:val="24"/>
                <w:highlight w:val="none"/>
              </w:rPr>
              <w:t xml:space="preserve">资格承诺函</w:t>
            </w:r>
            <w:r/>
          </w:p>
        </w:tc>
        <w:tc>
          <w:tcPr>
            <w:tcW w:w="5067" w:type="dxa"/>
            <w:vAlign w:val="center"/>
            <w:textDirection w:val="lrTb"/>
            <w:noWrap w:val="false"/>
          </w:tcPr>
          <w:p>
            <w:pPr>
              <w:spacing w:line="360" w:lineRule="auto"/>
              <w:rPr>
                <w:rFonts w:ascii="宋体" w:hAnsi="宋体" w:cs="楷体"/>
                <w:color w:val="auto"/>
                <w:sz w:val="24"/>
                <w:highlight w:val="none"/>
              </w:rPr>
            </w:pPr>
            <w:r>
              <w:rPr>
                <w:rFonts w:hint="eastAsia" w:ascii="宋体" w:hAnsi="宋体" w:cs="楷体"/>
                <w:color w:val="auto"/>
                <w:sz w:val="24"/>
                <w:highlight w:val="none"/>
              </w:rPr>
              <w:t xml:space="preserve">供应商可自行选择是否提供资格承诺函，若不提供资格承诺函的，应按采购文件要求提供以上 2-5 项相应的证明材料。资格承诺函格式要求见投标文件组成部分。</w:t>
            </w:r>
            <w:r/>
          </w:p>
        </w:tc>
      </w:tr>
    </w:tbl>
    <w:p>
      <w:pPr>
        <w:rPr>
          <w:color w:val="auto"/>
          <w:sz w:val="20"/>
          <w:highlight w:val="none"/>
        </w:rPr>
      </w:pPr>
      <w:r>
        <w:rPr>
          <w:color w:val="auto"/>
          <w:sz w:val="20"/>
          <w:highlight w:val="none"/>
        </w:rPr>
      </w:r>
      <w:bookmarkEnd w:id="87"/>
      <w:r/>
    </w:p>
    <w:p>
      <w:pPr>
        <w:pStyle w:val="843"/>
        <w:ind w:firstLine="321"/>
        <w:jc w:val="left"/>
        <w:spacing w:line="400" w:lineRule="exact"/>
        <w:rPr>
          <w:rFonts w:ascii="宋体" w:hAnsi="宋体" w:eastAsia="宋体"/>
          <w:color w:val="auto"/>
          <w:sz w:val="32"/>
          <w:highlight w:val="none"/>
        </w:rPr>
      </w:pPr>
      <w:r/>
      <w:bookmarkStart w:id="88" w:name="_Toc60"/>
      <w:r>
        <w:rPr>
          <w:rFonts w:hint="eastAsia" w:ascii="宋体" w:hAnsi="宋体" w:eastAsia="宋体"/>
          <w:color w:val="auto"/>
          <w:sz w:val="32"/>
          <w:highlight w:val="none"/>
        </w:rPr>
        <w:t xml:space="preserve">4．磋商响应文件的有效性、完整性和响应程度审查</w:t>
      </w:r>
      <w:bookmarkEnd w:id="88"/>
      <w:r/>
      <w:r/>
    </w:p>
    <w:p>
      <w:pPr>
        <w:rPr>
          <w:color w:val="auto"/>
          <w:sz w:val="20"/>
          <w:highlight w:val="none"/>
        </w:rPr>
      </w:pPr>
      <w:r/>
      <w:bookmarkStart w:id="89" w:name="EB5ff77f62222b43a48ee845bbfe38b65b"/>
      <w:r>
        <w:rPr>
          <w:rFonts w:hint="eastAsia"/>
          <w:color w:val="auto"/>
          <w:sz w:val="20"/>
          <w:highlight w:val="none"/>
        </w:rPr>
        <w:t xml:space="preserve"> </w:t>
      </w:r>
      <w:bookmarkEnd w:id="89"/>
      <w:r/>
      <w:r/>
    </w:p>
    <w:tbl>
      <w:tblPr>
        <w:tblStyle w:val="663"/>
        <w:tblW w:w="5000" w:type="pct"/>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1"/>
        <w:gridCol w:w="1962"/>
        <w:gridCol w:w="647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0"/>
              <w:jc w:val="both"/>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0"/>
              <w:jc w:val="both"/>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0"/>
              <w:jc w:val="both"/>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0"/>
              <w:jc w:val="both"/>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0"/>
              <w:jc w:val="both"/>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投标</w:t>
            </w:r>
            <w:r>
              <w:rPr>
                <w:rFonts w:hint="eastAsia" w:ascii="宋体" w:hAnsi="宋体" w:eastAsia="宋体" w:cs="Times New Roman"/>
                <w:color w:val="auto"/>
                <w:sz w:val="24"/>
                <w:szCs w:val="24"/>
                <w:highlight w:val="none"/>
                <w:lang w:val="en-US" w:eastAsia="zh-CN" w:bidi="ar-SA"/>
              </w:rPr>
              <w:t xml:space="preserve">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0"/>
              <w:jc w:val="both"/>
              <w:widowControl w:val="off"/>
              <w:rPr>
                <w:rFonts w:ascii="宋体" w:hAnsi="宋体" w:eastAsia="宋体" w:cs="宋体"/>
                <w:color w:val="auto"/>
                <w:sz w:val="24"/>
                <w:szCs w:val="24"/>
                <w:highlight w:val="none"/>
                <w:lang w:val="en-US" w:eastAsia="zh-CN" w:bidi="ar-SA"/>
              </w:rPr>
            </w:pPr>
            <w:r>
              <w:rPr>
                <w:rFonts w:hint="eastAsia" w:ascii="宋体" w:hAnsi="宋体" w:eastAsia="宋体" w:cs="Times New Roman"/>
                <w:color w:val="auto"/>
                <w:sz w:val="24"/>
                <w:szCs w:val="24"/>
                <w:highlight w:val="none"/>
                <w:shd w:val="clear" w:color="auto" w:fill="ffffff"/>
                <w:lang w:val="en-US" w:eastAsia="zh-CN" w:bidi="ar-SA"/>
              </w:rPr>
              <w:t xml:space="preserve">磋商响应</w:t>
            </w:r>
            <w:r>
              <w:rPr>
                <w:rFonts w:ascii="宋体" w:hAnsi="宋体" w:eastAsia="宋体" w:cs="Times New Roman"/>
                <w:color w:val="auto"/>
                <w:sz w:val="24"/>
                <w:szCs w:val="24"/>
                <w:highlight w:val="none"/>
                <w:shd w:val="clear" w:color="auto" w:fill="ffffff"/>
                <w:lang w:val="en-US" w:eastAsia="zh-CN" w:bidi="ar-SA"/>
              </w:rPr>
              <w:t xml:space="preserve">报价</w:t>
            </w:r>
            <w:r>
              <w:rPr>
                <w:rFonts w:hint="eastAsia" w:ascii="宋体" w:hAnsi="宋体" w:eastAsia="宋体" w:cs="Times New Roman"/>
                <w:color w:val="auto"/>
                <w:sz w:val="24"/>
                <w:szCs w:val="24"/>
                <w:highlight w:val="none"/>
                <w:shd w:val="clear" w:color="auto" w:fill="ffffff"/>
                <w:lang w:val="en-US" w:eastAsia="zh-CN" w:bidi="ar-SA"/>
              </w:rPr>
              <w:t xml:space="preserve">未</w:t>
            </w:r>
            <w:r>
              <w:rPr>
                <w:rFonts w:ascii="宋体" w:hAnsi="宋体" w:eastAsia="宋体" w:cs="Times New Roman"/>
                <w:color w:val="auto"/>
                <w:sz w:val="24"/>
                <w:szCs w:val="24"/>
                <w:highlight w:val="none"/>
                <w:shd w:val="clear" w:color="auto" w:fill="ffffff"/>
                <w:lang w:val="en-US" w:eastAsia="zh-CN" w:bidi="ar-SA"/>
              </w:rPr>
              <w:t xml:space="preserve">超过</w:t>
            </w:r>
            <w:r>
              <w:rPr>
                <w:rFonts w:hint="eastAsia" w:ascii="宋体" w:hAnsi="宋体" w:eastAsia="宋体" w:cs="Times New Roman"/>
                <w:color w:val="auto"/>
                <w:sz w:val="24"/>
                <w:szCs w:val="24"/>
                <w:highlight w:val="none"/>
                <w:shd w:val="clear" w:color="auto" w:fill="ffffff"/>
                <w:lang w:val="en-US" w:eastAsia="zh-CN" w:bidi="ar-SA"/>
              </w:rPr>
              <w:t xml:space="preserve">磋商</w:t>
            </w:r>
            <w:r>
              <w:rPr>
                <w:rFonts w:ascii="宋体" w:hAnsi="宋体" w:eastAsia="宋体" w:cs="Times New Roman"/>
                <w:color w:val="auto"/>
                <w:sz w:val="24"/>
                <w:szCs w:val="24"/>
                <w:highlight w:val="none"/>
                <w:shd w:val="clear" w:color="auto" w:fill="ffffff"/>
                <w:lang w:val="en-US" w:eastAsia="zh-CN" w:bidi="ar-SA"/>
              </w:rPr>
              <w:t xml:space="preserve">文件中规定的预算金额或最高限价的；</w:t>
            </w:r>
            <w:r>
              <w:rPr>
                <w:rFonts w:ascii="宋体" w:hAnsi="宋体" w:eastAsia="宋体" w:cs="宋体"/>
                <w:color w:val="auto"/>
                <w:sz w:val="24"/>
                <w:szCs w:val="24"/>
                <w:highlight w:val="none"/>
                <w:lang w:val="en-US" w:eastAsia="zh-CN" w:bidi="ar-SA"/>
              </w:rPr>
              <w:t xml:space="preserve"> </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0"/>
              <w:jc w:val="both"/>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0"/>
              <w:jc w:val="both"/>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商务要求响应</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0"/>
              <w:jc w:val="both"/>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商务要求响应须</w:t>
            </w:r>
            <w:r>
              <w:rPr>
                <w:rFonts w:hint="eastAsia" w:ascii="宋体" w:hAnsi="宋体" w:eastAsia="宋体" w:cs="宋体"/>
                <w:color w:val="auto"/>
                <w:sz w:val="24"/>
                <w:szCs w:val="24"/>
                <w:highlight w:val="none"/>
                <w:lang w:val="en-US" w:eastAsia="zh-CN" w:bidi="ar-SA"/>
              </w:rPr>
              <w:t xml:space="preserve">满足磋商文件实质性要求；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0"/>
              <w:jc w:val="both"/>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0"/>
              <w:jc w:val="both"/>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技术要求响应</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0"/>
              <w:jc w:val="both"/>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技术要求响应须</w:t>
            </w:r>
            <w:r>
              <w:rPr>
                <w:rFonts w:hint="eastAsia" w:ascii="宋体" w:hAnsi="宋体" w:eastAsia="宋体" w:cs="宋体"/>
                <w:color w:val="auto"/>
                <w:sz w:val="24"/>
                <w:szCs w:val="24"/>
                <w:highlight w:val="none"/>
                <w:lang w:val="en-US" w:eastAsia="zh-CN" w:bidi="ar-SA"/>
              </w:rPr>
              <w:t xml:space="preserve">满足磋商文件实质性要求。</w:t>
            </w:r>
            <w:r/>
          </w:p>
        </w:tc>
      </w:tr>
    </w:tbl>
    <w:p>
      <w:pPr>
        <w:rPr>
          <w:color w:val="auto"/>
          <w:sz w:val="20"/>
          <w:highlight w:val="none"/>
        </w:rPr>
      </w:pPr>
      <w:r>
        <w:rPr>
          <w:color w:val="auto"/>
          <w:sz w:val="20"/>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843"/>
        <w:ind w:firstLine="321"/>
        <w:jc w:val="left"/>
        <w:spacing w:line="400" w:lineRule="exact"/>
        <w:rPr>
          <w:rFonts w:ascii="宋体" w:hAnsi="宋体" w:eastAsia="宋体"/>
          <w:color w:val="auto"/>
          <w:sz w:val="32"/>
          <w:highlight w:val="none"/>
        </w:rPr>
      </w:pPr>
      <w:r/>
      <w:bookmarkStart w:id="90" w:name="_Toc61"/>
      <w:r>
        <w:rPr>
          <w:rFonts w:hint="eastAsia" w:ascii="宋体" w:hAnsi="宋体" w:eastAsia="宋体"/>
          <w:color w:val="auto"/>
          <w:sz w:val="32"/>
          <w:highlight w:val="none"/>
        </w:rPr>
        <w:t xml:space="preserve">5．磋商记录</w:t>
      </w:r>
      <w:bookmarkEnd w:id="9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5.1《磋商记录》包括供应商答复或承诺的内容、磋商文件的变动情况及最后报价等。</w:t>
      </w:r>
      <w:r/>
    </w:p>
    <w:p>
      <w:pPr>
        <w:pStyle w:val="843"/>
        <w:ind w:firstLine="321"/>
        <w:jc w:val="left"/>
        <w:spacing w:line="400" w:lineRule="exact"/>
        <w:rPr>
          <w:rFonts w:ascii="宋体" w:hAnsi="宋体" w:eastAsia="宋体"/>
          <w:color w:val="auto"/>
          <w:sz w:val="32"/>
          <w:highlight w:val="none"/>
        </w:rPr>
      </w:pPr>
      <w:r/>
      <w:bookmarkStart w:id="91" w:name="_Toc62"/>
      <w:r>
        <w:rPr>
          <w:rFonts w:hint="eastAsia" w:ascii="宋体" w:hAnsi="宋体" w:eastAsia="宋体"/>
          <w:color w:val="auto"/>
          <w:sz w:val="32"/>
          <w:highlight w:val="none"/>
        </w:rPr>
        <w:t xml:space="preserve">6．综合评分</w:t>
      </w:r>
      <w:bookmarkEnd w:id="91"/>
      <w:r/>
      <w:r/>
    </w:p>
    <w:p>
      <w:pPr>
        <w:ind w:firstLine="482"/>
        <w:spacing w:line="360" w:lineRule="auto"/>
        <w:widowControl/>
        <w:rPr>
          <w:rFonts w:ascii="宋体" w:hAnsi="宋体"/>
          <w:b/>
          <w:color w:val="auto"/>
          <w:sz w:val="24"/>
          <w:highlight w:val="none"/>
        </w:rPr>
      </w:pPr>
      <w:r>
        <w:rPr>
          <w:rFonts w:hint="eastAsia" w:ascii="宋体" w:hAnsi="宋体"/>
          <w:b/>
          <w:color w:val="auto"/>
          <w:sz w:val="24"/>
          <w:highlight w:val="none"/>
        </w:rPr>
        <w:t xml:space="preserve">经磋商确定最终采购需求和提交最后报价的供应商后，磋商小组采用综合评分法对提交最后报价的供应商的磋商响应文件和最后报价进行综合评分，总分100分。</w:t>
      </w:r>
      <w:r/>
    </w:p>
    <w:p>
      <w:pPr>
        <w:rPr>
          <w:color w:val="auto"/>
          <w:highlight w:val="none"/>
        </w:rPr>
      </w:pPr>
      <w:r/>
      <w:bookmarkStart w:id="92" w:name="EBeb38bac6236d407ea758a92f796301c6"/>
      <w:r/>
      <w:r/>
    </w:p>
    <w:tbl>
      <w:tblPr>
        <w:tblStyle w:val="66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395"/>
        <w:gridCol w:w="2395"/>
        <w:gridCol w:w="2396"/>
        <w:gridCol w:w="2396"/>
      </w:tblGrid>
      <w:tr>
        <w:trPr/>
        <w:tc>
          <w:tcPr>
            <w:tcMar>
              <w:top w:w="100" w:type="dxa"/>
              <w:bottom w:w="100" w:type="dxa"/>
            </w:tcMar>
            <w:tcW w:w="2395" w:type="dxa"/>
            <w:vAlign w:val="center"/>
            <w:textDirection w:val="lrTb"/>
            <w:noWrap w:val="false"/>
          </w:tcPr>
          <w:p>
            <w:pPr>
              <w:pStyle w:val="904"/>
              <w:jc w:val="center"/>
              <w:rPr>
                <w:rFonts w:ascii="宋体" w:hAnsi="宋体" w:eastAsia="宋体" w:cs="宋体"/>
                <w:color w:val="auto"/>
                <w:sz w:val="21"/>
                <w:highlight w:val="none"/>
              </w:rPr>
            </w:pPr>
            <w:r>
              <w:rPr>
                <w:rFonts w:ascii="宋体" w:hAnsi="宋体" w:eastAsia="宋体" w:cs="宋体"/>
                <w:color w:val="auto"/>
                <w:sz w:val="21"/>
                <w:highlight w:val="none"/>
              </w:rPr>
              <w:t xml:space="preserve">评分项目</w:t>
            </w:r>
            <w:r/>
          </w:p>
        </w:tc>
        <w:tc>
          <w:tcPr>
            <w:tcMar>
              <w:top w:w="100" w:type="dxa"/>
              <w:bottom w:w="100" w:type="dxa"/>
            </w:tcMar>
            <w:tcW w:w="2395" w:type="dxa"/>
            <w:vAlign w:val="center"/>
            <w:textDirection w:val="lrTb"/>
            <w:noWrap w:val="false"/>
          </w:tcPr>
          <w:p>
            <w:pPr>
              <w:pStyle w:val="904"/>
              <w:jc w:val="center"/>
              <w:rPr>
                <w:rFonts w:ascii="宋体" w:hAnsi="宋体" w:eastAsia="宋体" w:cs="宋体"/>
                <w:color w:val="auto"/>
                <w:sz w:val="21"/>
                <w:highlight w:val="none"/>
              </w:rPr>
            </w:pPr>
            <w:r>
              <w:rPr>
                <w:rFonts w:ascii="宋体" w:hAnsi="宋体" w:eastAsia="宋体" w:cs="宋体"/>
                <w:color w:val="auto"/>
                <w:sz w:val="21"/>
                <w:highlight w:val="none"/>
              </w:rPr>
              <w:t xml:space="preserve">技术评估</w:t>
            </w:r>
            <w:r/>
          </w:p>
        </w:tc>
        <w:tc>
          <w:tcPr>
            <w:tcMar>
              <w:top w:w="100" w:type="dxa"/>
              <w:bottom w:w="100" w:type="dxa"/>
            </w:tcMar>
            <w:tcW w:w="2396" w:type="dxa"/>
            <w:vAlign w:val="center"/>
            <w:textDirection w:val="lrTb"/>
            <w:noWrap w:val="false"/>
          </w:tcPr>
          <w:p>
            <w:pPr>
              <w:pStyle w:val="904"/>
              <w:jc w:val="center"/>
              <w:rPr>
                <w:rFonts w:ascii="宋体" w:hAnsi="宋体" w:eastAsia="宋体" w:cs="宋体"/>
                <w:color w:val="auto"/>
                <w:sz w:val="21"/>
                <w:highlight w:val="none"/>
              </w:rPr>
            </w:pPr>
            <w:r>
              <w:rPr>
                <w:rFonts w:ascii="宋体" w:hAnsi="宋体" w:eastAsia="宋体" w:cs="宋体"/>
                <w:color w:val="auto"/>
                <w:sz w:val="21"/>
                <w:highlight w:val="none"/>
              </w:rPr>
              <w:t xml:space="preserve">商务评估</w:t>
            </w:r>
            <w:r/>
          </w:p>
        </w:tc>
        <w:tc>
          <w:tcPr>
            <w:tcMar>
              <w:top w:w="100" w:type="dxa"/>
              <w:bottom w:w="100" w:type="dxa"/>
            </w:tcMar>
            <w:tcW w:w="2396" w:type="dxa"/>
            <w:vAlign w:val="center"/>
            <w:textDirection w:val="lrTb"/>
            <w:noWrap w:val="false"/>
          </w:tcPr>
          <w:p>
            <w:pPr>
              <w:pStyle w:val="904"/>
              <w:jc w:val="center"/>
              <w:rPr>
                <w:rFonts w:ascii="宋体" w:hAnsi="宋体" w:eastAsia="宋体" w:cs="宋体"/>
                <w:color w:val="auto"/>
                <w:sz w:val="21"/>
                <w:highlight w:val="none"/>
              </w:rPr>
            </w:pPr>
            <w:r>
              <w:rPr>
                <w:rFonts w:ascii="宋体" w:hAnsi="宋体" w:eastAsia="宋体" w:cs="宋体"/>
                <w:color w:val="auto"/>
                <w:sz w:val="21"/>
                <w:highlight w:val="none"/>
              </w:rPr>
              <w:t xml:space="preserve">价格评估</w:t>
            </w:r>
            <w:r/>
          </w:p>
        </w:tc>
      </w:tr>
      <w:tr>
        <w:trPr/>
        <w:tc>
          <w:tcPr>
            <w:tcMar>
              <w:top w:w="100" w:type="dxa"/>
              <w:bottom w:w="100" w:type="dxa"/>
            </w:tcMar>
            <w:tcW w:w="2395" w:type="dxa"/>
            <w:vAlign w:val="center"/>
            <w:textDirection w:val="lrTb"/>
            <w:noWrap w:val="false"/>
          </w:tcPr>
          <w:p>
            <w:pPr>
              <w:pStyle w:val="904"/>
              <w:jc w:val="center"/>
              <w:rPr>
                <w:rFonts w:ascii="宋体" w:hAnsi="宋体" w:eastAsia="宋体" w:cs="宋体"/>
                <w:color w:val="auto"/>
                <w:sz w:val="21"/>
                <w:highlight w:val="none"/>
              </w:rPr>
            </w:pPr>
            <w:r>
              <w:rPr>
                <w:rFonts w:ascii="宋体" w:hAnsi="宋体" w:eastAsia="宋体" w:cs="宋体"/>
                <w:color w:val="auto"/>
                <w:sz w:val="21"/>
                <w:highlight w:val="none"/>
              </w:rPr>
              <w:t xml:space="preserve">分值</w:t>
            </w:r>
            <w:r/>
          </w:p>
        </w:tc>
        <w:tc>
          <w:tcPr>
            <w:tcMar>
              <w:top w:w="100" w:type="dxa"/>
              <w:bottom w:w="100" w:type="dxa"/>
            </w:tcMar>
            <w:tcW w:w="2395"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 xml:space="preserve">45</w:t>
            </w:r>
            <w:r/>
          </w:p>
        </w:tc>
        <w:tc>
          <w:tcPr>
            <w:tcMar>
              <w:top w:w="100" w:type="dxa"/>
              <w:bottom w:w="100" w:type="dxa"/>
            </w:tcMar>
            <w:tcW w:w="2396"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 xml:space="preserve">30</w:t>
            </w:r>
            <w:r/>
          </w:p>
        </w:tc>
        <w:tc>
          <w:tcPr>
            <w:tcMar>
              <w:top w:w="100" w:type="dxa"/>
              <w:bottom w:w="100" w:type="dxa"/>
            </w:tcMar>
            <w:tcW w:w="2396"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 xml:space="preserve">25</w:t>
            </w:r>
            <w:r/>
          </w:p>
        </w:tc>
      </w:tr>
    </w:tbl>
    <w:p>
      <w:pPr>
        <w:rPr>
          <w:color w:val="auto"/>
          <w:sz w:val="20"/>
          <w:highlight w:val="none"/>
        </w:rPr>
      </w:pPr>
      <w:r>
        <w:rPr>
          <w:rFonts w:hint="eastAsia"/>
          <w:color w:val="auto"/>
          <w:sz w:val="20"/>
          <w:highlight w:val="none"/>
        </w:rPr>
        <w:t xml:space="preserve"> </w:t>
      </w:r>
      <w:bookmarkEnd w:id="92"/>
      <w:r/>
      <w:r/>
    </w:p>
    <w:p>
      <w:pPr>
        <w:numPr>
          <w:ilvl w:val="0"/>
          <w:numId w:val="6"/>
        </w:numPr>
        <w:jc w:val="left"/>
        <w:spacing w:line="360" w:lineRule="auto"/>
        <w:widowControl/>
        <w:rPr>
          <w:rFonts w:ascii="宋体" w:hAnsi="宋体"/>
          <w:b/>
          <w:color w:val="auto"/>
          <w:sz w:val="24"/>
          <w:highlight w:val="none"/>
        </w:rPr>
      </w:pPr>
      <w:r>
        <w:rPr>
          <w:rFonts w:hint="eastAsia" w:ascii="宋体" w:hAnsi="宋体"/>
          <w:b/>
          <w:color w:val="auto"/>
          <w:sz w:val="24"/>
          <w:highlight w:val="none"/>
        </w:rPr>
        <w:t xml:space="preserve">技术评估</w:t>
      </w:r>
      <w:r/>
    </w:p>
    <w:tbl>
      <w:tblPr>
        <w:tblStyle w:val="964"/>
        <w:tblW w:w="9495"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992"/>
        <w:gridCol w:w="6847"/>
        <w:gridCol w:w="805"/>
      </w:tblGrid>
      <w:tr>
        <w:trPr>
          <w:trHeight w:val="385" w:hRule="exact"/>
        </w:trPr>
        <w:tc>
          <w:tcPr>
            <w:tcBorders>
              <w:top w:val="single" w:color="000000" w:sz="2" w:space="0"/>
              <w:left w:val="single" w:color="000000" w:sz="2" w:space="0"/>
              <w:bottom w:val="single" w:color="000000" w:sz="2" w:space="0"/>
              <w:right w:val="single" w:color="000000" w:sz="2" w:space="0"/>
            </w:tcBorders>
            <w:tcW w:w="851" w:type="dxa"/>
            <w:vAlign w:val="center"/>
            <w:textDirection w:val="lrTb"/>
            <w:noWrap w:val="false"/>
          </w:tcPr>
          <w:p>
            <w:pPr>
              <w:jc w:val="center"/>
              <w:rPr>
                <w:rFonts w:hint="eastAsia" w:asciiTheme="minorEastAsia" w:hAnsiTheme="minorEastAsia" w:eastAsiaTheme="minorEastAsia" w:cstheme="minorEastAsia"/>
                <w:color w:val="auto"/>
                <w:sz w:val="22"/>
                <w:szCs w:val="22"/>
                <w:highlight w:val="none"/>
              </w:rPr>
            </w:pPr>
            <w:r/>
            <w:bookmarkStart w:id="93" w:name="_Hlk198028358"/>
            <w:r/>
            <w:bookmarkStart w:id="94" w:name="EB6b2e05f244d844eab53af046ecb4a6fe"/>
            <w:r>
              <w:rPr>
                <w:rFonts w:hint="eastAsia" w:asciiTheme="minorEastAsia" w:hAnsiTheme="minorEastAsia" w:eastAsiaTheme="minorEastAsia" w:cstheme="minorEastAsia"/>
                <w:color w:val="auto"/>
                <w:sz w:val="22"/>
                <w:szCs w:val="22"/>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W w:w="6847" w:type="dxa"/>
            <w:vAlign w:val="center"/>
            <w:textDirection w:val="lrTb"/>
            <w:noWrap w:val="false"/>
          </w:tcPr>
          <w:p>
            <w:pPr>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分值</w:t>
            </w:r>
            <w:r/>
          </w:p>
        </w:tc>
      </w:tr>
      <w:tr>
        <w:trPr>
          <w:trHeight w:val="280" w:hRule="exact"/>
        </w:trPr>
        <w:tc>
          <w:tcPr>
            <w:gridSpan w:val="3"/>
            <w:tcBorders>
              <w:top w:val="single" w:color="000000" w:sz="2" w:space="0"/>
              <w:left w:val="single" w:color="000000" w:sz="2" w:space="0"/>
              <w:bottom w:val="single" w:color="000000" w:sz="2" w:space="0"/>
              <w:right w:val="single" w:color="000000" w:sz="2" w:space="0"/>
            </w:tcBorders>
            <w:tcW w:w="8690" w:type="dxa"/>
            <w:vAlign w:val="center"/>
            <w:textDirection w:val="lrTb"/>
            <w:noWrap w:val="false"/>
          </w:tcPr>
          <w:p>
            <w:pPr>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服务方案评价</w:t>
            </w:r>
            <w:r/>
          </w:p>
        </w:tc>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 xml:space="preserve">39</w:t>
            </w:r>
            <w:r/>
          </w:p>
        </w:tc>
      </w:tr>
      <w:tr>
        <w:trPr>
          <w:trHeight w:val="1502" w:hRule="exact"/>
        </w:trPr>
        <w:tc>
          <w:tcPr>
            <w:tcBorders>
              <w:top w:val="single" w:color="000000" w:sz="2" w:space="0"/>
              <w:left w:val="single" w:color="000000" w:sz="2" w:space="0"/>
              <w:bottom w:val="single" w:color="000000" w:sz="2" w:space="0"/>
              <w:right w:val="single" w:color="000000" w:sz="2" w:space="0"/>
            </w:tcBorders>
            <w:tcW w:w="851" w:type="dxa"/>
            <w:vAlign w:val="center"/>
            <w:textDirection w:val="lrTb"/>
            <w:noWrap w:val="false"/>
          </w:tcPr>
          <w:p>
            <w:pPr>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1.1</w:t>
            </w:r>
            <w:r/>
          </w:p>
        </w:tc>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项目理解评价</w:t>
            </w:r>
            <w:r/>
          </w:p>
        </w:tc>
        <w:tc>
          <w:tcPr>
            <w:tcBorders>
              <w:top w:val="single" w:color="000000" w:sz="2" w:space="0"/>
              <w:left w:val="single" w:color="000000" w:sz="2" w:space="0"/>
              <w:bottom w:val="single" w:color="000000" w:sz="2" w:space="0"/>
              <w:right w:val="single" w:color="000000" w:sz="2" w:space="0"/>
            </w:tcBorders>
            <w:tcW w:w="6847" w:type="dxa"/>
            <w:vAlign w:val="center"/>
            <w:textDirection w:val="lrTb"/>
            <w:noWrap w:val="false"/>
          </w:tcPr>
          <w:p>
            <w:pPr>
              <w:spacing w:line="380" w:lineRule="exact"/>
              <w:rPr>
                <w:rFonts w:hint="eastAsia"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根据各供应商提供的项目理解，考察其是否具有功能需求拆解、工作量与工期估算方法、业务逻辑与流程梳理，每具有一条</w:t>
            </w:r>
            <w:r>
              <w:rPr>
                <w:rFonts w:hint="eastAsia" w:asciiTheme="minorEastAsia" w:hAnsiTheme="minorEastAsia" w:eastAsiaTheme="minorEastAsia" w:cstheme="minorEastAsia"/>
                <w:bCs/>
                <w:color w:val="auto"/>
                <w:sz w:val="22"/>
                <w:szCs w:val="22"/>
                <w:highlight w:val="none"/>
              </w:rPr>
              <w:t xml:space="preserve">上述要点且满足磋商文件要求的得2分，最高得6分，不提供的不得分。</w:t>
            </w:r>
            <w:r/>
          </w:p>
          <w:p>
            <w:pPr>
              <w:spacing w:line="380" w:lineRule="exact"/>
              <w:rPr>
                <w:rFonts w:hint="eastAsia"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提供风险识别与应对策略的，加1分。</w:t>
            </w:r>
            <w:r/>
          </w:p>
          <w:p>
            <w:pPr>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r>
            <w:r/>
          </w:p>
        </w:tc>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lang w:val="en-US" w:eastAsia="zh-CN"/>
              </w:rPr>
              <w:t xml:space="preserve">7</w:t>
            </w:r>
            <w:r/>
          </w:p>
        </w:tc>
      </w:tr>
      <w:tr>
        <w:trPr>
          <w:trHeight w:val="1430" w:hRule="exact"/>
        </w:trPr>
        <w:tc>
          <w:tcPr>
            <w:tcBorders>
              <w:top w:val="single" w:color="000000" w:sz="2" w:space="0"/>
              <w:left w:val="single" w:color="000000" w:sz="2" w:space="0"/>
              <w:bottom w:val="single" w:color="000000" w:sz="2" w:space="0"/>
              <w:right w:val="single" w:color="000000" w:sz="2" w:space="0"/>
            </w:tcBorders>
            <w:tcW w:w="851" w:type="dxa"/>
            <w:vAlign w:val="center"/>
            <w:textDirection w:val="lrTb"/>
            <w:noWrap w:val="false"/>
          </w:tcPr>
          <w:p>
            <w:pPr>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1.2</w:t>
            </w:r>
            <w:r/>
          </w:p>
        </w:tc>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运维服务方案评价</w:t>
            </w:r>
            <w:r/>
          </w:p>
        </w:tc>
        <w:tc>
          <w:tcPr>
            <w:tcBorders>
              <w:top w:val="single" w:color="000000" w:sz="2" w:space="0"/>
              <w:left w:val="single" w:color="000000" w:sz="2" w:space="0"/>
              <w:bottom w:val="single" w:color="000000" w:sz="2" w:space="0"/>
              <w:right w:val="single" w:color="000000" w:sz="2" w:space="0"/>
            </w:tcBorders>
            <w:tcW w:w="6847" w:type="dxa"/>
            <w:vAlign w:val="center"/>
            <w:textDirection w:val="lrTb"/>
            <w:noWrap w:val="false"/>
          </w:tcPr>
          <w:p>
            <w:pPr>
              <w:rPr>
                <w:rFonts w:hint="eastAsia"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根据供应商提供的运维服务方案，考察其是否具有运维方案描述、工具链介绍、技术架构图，每具有一条</w:t>
            </w:r>
            <w:r>
              <w:rPr>
                <w:rFonts w:hint="eastAsia" w:asciiTheme="minorEastAsia" w:hAnsiTheme="minorEastAsia" w:eastAsiaTheme="minorEastAsia" w:cstheme="minorEastAsia"/>
                <w:bCs/>
                <w:color w:val="auto"/>
                <w:sz w:val="22"/>
                <w:szCs w:val="22"/>
                <w:highlight w:val="none"/>
              </w:rPr>
              <w:t xml:space="preserve">上述要点且满足磋商文件要求的得2分，最高得6分，不提供的不得分。</w:t>
            </w:r>
            <w:r/>
          </w:p>
          <w:p>
            <w:pPr>
              <w:rPr>
                <w:rFonts w:hint="eastAsia"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提供持续改进计划的，加1分。</w:t>
            </w:r>
            <w:r/>
          </w:p>
        </w:tc>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lang w:val="en-US" w:eastAsia="zh-CN"/>
              </w:rPr>
              <w:t xml:space="preserve">7</w:t>
            </w:r>
            <w:r/>
          </w:p>
        </w:tc>
      </w:tr>
      <w:tr>
        <w:trPr>
          <w:trHeight w:val="1998" w:hRule="exact"/>
        </w:trPr>
        <w:tc>
          <w:tcPr>
            <w:tcBorders>
              <w:top w:val="single" w:color="000000" w:sz="2" w:space="0"/>
              <w:left w:val="single" w:color="000000" w:sz="2" w:space="0"/>
              <w:bottom w:val="single" w:color="000000" w:sz="2" w:space="0"/>
              <w:right w:val="single" w:color="000000" w:sz="2" w:space="0"/>
            </w:tcBorders>
            <w:tcW w:w="851" w:type="dxa"/>
            <w:vAlign w:val="center"/>
            <w:textDirection w:val="lrTb"/>
            <w:noWrap w:val="false"/>
          </w:tcPr>
          <w:p>
            <w:pPr>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1.3</w:t>
            </w:r>
            <w:r/>
          </w:p>
        </w:tc>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服务质量管理方案评价</w:t>
            </w:r>
            <w:r/>
          </w:p>
        </w:tc>
        <w:tc>
          <w:tcPr>
            <w:tcBorders>
              <w:top w:val="single" w:color="000000" w:sz="2" w:space="0"/>
              <w:left w:val="single" w:color="000000" w:sz="2" w:space="0"/>
              <w:bottom w:val="single" w:color="000000" w:sz="2" w:space="0"/>
              <w:right w:val="single" w:color="000000" w:sz="2" w:space="0"/>
            </w:tcBorders>
            <w:tcW w:w="6847" w:type="dxa"/>
            <w:vAlign w:val="center"/>
            <w:textDirection w:val="lrTb"/>
            <w:noWrap w:val="false"/>
          </w:tcPr>
          <w:p>
            <w:pPr>
              <w:rPr>
                <w:rFonts w:hint="eastAsia"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根据供应商提供的服务质量管理方案，考察其是否具有服务质量与可靠性、过程质量与规范依从、资源管理与团队效能，每具有一条</w:t>
            </w:r>
            <w:r>
              <w:rPr>
                <w:rFonts w:hint="eastAsia" w:asciiTheme="minorEastAsia" w:hAnsiTheme="minorEastAsia" w:eastAsiaTheme="minorEastAsia" w:cstheme="minorEastAsia"/>
                <w:bCs/>
                <w:color w:val="auto"/>
                <w:sz w:val="22"/>
                <w:szCs w:val="22"/>
                <w:highlight w:val="none"/>
              </w:rPr>
              <w:t xml:space="preserve">上述要点且满足磋商文件要求的得2分，最高得6分，不提供的不得分。</w:t>
            </w:r>
            <w:r/>
          </w:p>
          <w:p>
            <w:pPr>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提供定期的满意度调研方案的，加1分。</w:t>
            </w:r>
            <w:r/>
          </w:p>
        </w:tc>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lang w:val="en-US" w:eastAsia="zh-CN"/>
              </w:rPr>
              <w:t xml:space="preserve">7</w:t>
            </w:r>
            <w:r/>
          </w:p>
        </w:tc>
      </w:tr>
      <w:tr>
        <w:trPr>
          <w:trHeight w:val="1588" w:hRule="exact"/>
        </w:trPr>
        <w:tc>
          <w:tcPr>
            <w:tcBorders>
              <w:top w:val="single" w:color="000000" w:sz="2" w:space="0"/>
              <w:left w:val="single" w:color="000000" w:sz="2" w:space="0"/>
              <w:bottom w:val="single" w:color="000000" w:sz="2" w:space="0"/>
              <w:right w:val="single" w:color="000000" w:sz="2" w:space="0"/>
            </w:tcBorders>
            <w:tcW w:w="851" w:type="dxa"/>
            <w:vAlign w:val="center"/>
            <w:textDirection w:val="lrTb"/>
            <w:noWrap w:val="false"/>
          </w:tcPr>
          <w:p>
            <w:pPr>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1.4</w:t>
            </w:r>
            <w:r/>
          </w:p>
        </w:tc>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项目实施方案评价</w:t>
            </w:r>
            <w:r/>
          </w:p>
        </w:tc>
        <w:tc>
          <w:tcPr>
            <w:tcBorders>
              <w:top w:val="single" w:color="000000" w:sz="2" w:space="0"/>
              <w:left w:val="single" w:color="000000" w:sz="2" w:space="0"/>
              <w:bottom w:val="single" w:color="000000" w:sz="2" w:space="0"/>
              <w:right w:val="single" w:color="000000" w:sz="2" w:space="0"/>
            </w:tcBorders>
            <w:tcW w:w="6847" w:type="dxa"/>
            <w:vAlign w:val="center"/>
            <w:textDirection w:val="lrTb"/>
            <w:noWrap w:val="false"/>
          </w:tcPr>
          <w:p>
            <w:pPr>
              <w:rPr>
                <w:rFonts w:hint="eastAsia"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根据供应商提供的项目实施方案，考察其是否具有项目计划与进度管理、技术方案与架构设计、团队配置与沟通机制，每具有一条</w:t>
            </w:r>
            <w:r>
              <w:rPr>
                <w:rFonts w:hint="eastAsia" w:asciiTheme="minorEastAsia" w:hAnsiTheme="minorEastAsia" w:eastAsiaTheme="minorEastAsia" w:cstheme="minorEastAsia"/>
                <w:bCs/>
                <w:color w:val="auto"/>
                <w:sz w:val="22"/>
                <w:szCs w:val="22"/>
                <w:highlight w:val="none"/>
              </w:rPr>
              <w:t xml:space="preserve">上述要点且满足磋商文件要求的得2分，最高得6分，不提供的不得分。</w:t>
            </w:r>
            <w:r/>
          </w:p>
          <w:p>
            <w:pPr>
              <w:rPr>
                <w:rFonts w:hint="eastAsia" w:asciiTheme="minorEastAsia" w:hAnsiTheme="minorEastAsia" w:eastAsiaTheme="minorEastAsia" w:cstheme="minorEastAsia"/>
                <w:color w:val="auto"/>
                <w:sz w:val="22"/>
                <w:szCs w:val="22"/>
                <w:highlight w:val="none"/>
                <w:lang w:val="zh-CN"/>
              </w:rPr>
            </w:pPr>
            <w:r>
              <w:rPr>
                <w:rFonts w:hint="eastAsia" w:asciiTheme="minorEastAsia" w:hAnsiTheme="minorEastAsia" w:eastAsiaTheme="minorEastAsia" w:cstheme="minorEastAsia"/>
                <w:bCs/>
                <w:color w:val="auto"/>
                <w:sz w:val="22"/>
                <w:szCs w:val="22"/>
                <w:highlight w:val="none"/>
              </w:rPr>
              <w:t xml:space="preserve">提供定期评估、知识转移、优化建议的，加1分。</w:t>
            </w:r>
            <w:r/>
          </w:p>
        </w:tc>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lang w:val="en-US" w:eastAsia="zh-CN"/>
              </w:rPr>
              <w:t xml:space="preserve">7</w:t>
            </w:r>
            <w:r/>
          </w:p>
        </w:tc>
      </w:tr>
      <w:tr>
        <w:trPr>
          <w:trHeight w:val="1806" w:hRule="exact"/>
        </w:trPr>
        <w:tc>
          <w:tcPr>
            <w:tcBorders>
              <w:top w:val="single" w:color="000000" w:sz="2" w:space="0"/>
              <w:left w:val="single" w:color="000000" w:sz="2" w:space="0"/>
              <w:bottom w:val="single" w:color="000000" w:sz="2" w:space="0"/>
              <w:right w:val="single" w:color="000000" w:sz="2" w:space="0"/>
            </w:tcBorders>
            <w:tcW w:w="851" w:type="dxa"/>
            <w:vAlign w:val="center"/>
            <w:textDirection w:val="lrTb"/>
            <w:noWrap w:val="false"/>
          </w:tcPr>
          <w:p>
            <w:pPr>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1.5</w:t>
            </w:r>
            <w:r/>
          </w:p>
        </w:tc>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信息安全保障方案评价</w:t>
            </w:r>
            <w:r/>
          </w:p>
        </w:tc>
        <w:tc>
          <w:tcPr>
            <w:tcBorders>
              <w:top w:val="single" w:color="000000" w:sz="2" w:space="0"/>
              <w:left w:val="single" w:color="000000" w:sz="2" w:space="0"/>
              <w:bottom w:val="single" w:color="000000" w:sz="2" w:space="0"/>
              <w:right w:val="single" w:color="000000" w:sz="2" w:space="0"/>
            </w:tcBorders>
            <w:tcW w:w="6847" w:type="dxa"/>
            <w:vAlign w:val="center"/>
            <w:textDirection w:val="lrTb"/>
            <w:noWrap w:val="false"/>
          </w:tcPr>
          <w:p>
            <w:pP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根据供应商提供的信息安全保障方案，考察其是否具有技术防护能力、安全运维管理、组织与支撑保障，每具有一条</w:t>
            </w:r>
            <w:r>
              <w:rPr>
                <w:rFonts w:hint="eastAsia" w:asciiTheme="minorEastAsia" w:hAnsiTheme="minorEastAsia" w:eastAsiaTheme="minorEastAsia" w:cstheme="minorEastAsia"/>
                <w:bCs/>
                <w:color w:val="auto"/>
                <w:sz w:val="22"/>
                <w:szCs w:val="22"/>
                <w:highlight w:val="none"/>
              </w:rPr>
              <w:t xml:space="preserve">上述要点且满足磋商文件要求的得2分，最高得6分，不提供的不得分。</w:t>
            </w:r>
            <w:r/>
          </w:p>
          <w:p>
            <w:pPr>
              <w:rPr>
                <w:rFonts w:hint="eastAsia" w:asciiTheme="minorEastAsia" w:hAnsiTheme="minorEastAsia" w:eastAsiaTheme="minorEastAsia" w:cstheme="minorEastAsia"/>
                <w:color w:val="auto"/>
                <w:sz w:val="22"/>
                <w:szCs w:val="22"/>
                <w:highlight w:val="none"/>
                <w:lang w:val="zh-CN"/>
              </w:rPr>
            </w:pPr>
            <w:r>
              <w:rPr>
                <w:rFonts w:hint="eastAsia" w:asciiTheme="minorEastAsia" w:hAnsiTheme="minorEastAsia" w:eastAsiaTheme="minorEastAsia" w:cstheme="minorEastAsia"/>
                <w:color w:val="auto"/>
                <w:sz w:val="22"/>
                <w:szCs w:val="22"/>
                <w:highlight w:val="none"/>
              </w:rPr>
              <w:t xml:space="preserve">提供定期的风险评估和基于评估结果的安全加固计划的，加1分。</w:t>
            </w:r>
            <w:r/>
          </w:p>
        </w:tc>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lang w:val="en-US" w:eastAsia="zh-CN"/>
              </w:rPr>
              <w:t xml:space="preserve">7</w:t>
            </w:r>
            <w:r/>
          </w:p>
        </w:tc>
      </w:tr>
      <w:tr>
        <w:trPr>
          <w:trHeight w:val="1646" w:hRule="exact"/>
        </w:trPr>
        <w:tc>
          <w:tcPr>
            <w:tcBorders>
              <w:top w:val="single" w:color="000000" w:sz="2" w:space="0"/>
              <w:left w:val="single" w:color="000000" w:sz="2" w:space="0"/>
              <w:bottom w:val="single" w:color="000000" w:sz="2" w:space="0"/>
              <w:right w:val="single" w:color="000000" w:sz="2" w:space="0"/>
            </w:tcBorders>
            <w:tcW w:w="851" w:type="dxa"/>
            <w:vAlign w:val="center"/>
            <w:textDirection w:val="lrTb"/>
            <w:noWrap w:val="false"/>
          </w:tcPr>
          <w:p>
            <w:pPr>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1.6</w:t>
            </w:r>
            <w:r/>
          </w:p>
        </w:tc>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应急服务方案评价</w:t>
            </w:r>
            <w:r/>
          </w:p>
        </w:tc>
        <w:tc>
          <w:tcPr>
            <w:tcBorders>
              <w:top w:val="single" w:color="000000" w:sz="2" w:space="0"/>
              <w:left w:val="single" w:color="000000" w:sz="2" w:space="0"/>
              <w:bottom w:val="single" w:color="000000" w:sz="2" w:space="0"/>
              <w:right w:val="single" w:color="000000" w:sz="2" w:space="0"/>
            </w:tcBorders>
            <w:tcW w:w="6847" w:type="dxa"/>
            <w:vAlign w:val="center"/>
            <w:textDirection w:val="lrTb"/>
            <w:noWrap w:val="false"/>
          </w:tcPr>
          <w:p>
            <w:pP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根据供应商提供的应急服务方案评价，考察其是否具有应急响应时效要求、完备的应急流程、容灾备份策略，每具有一条</w:t>
            </w:r>
            <w:r>
              <w:rPr>
                <w:rFonts w:hint="eastAsia" w:asciiTheme="minorEastAsia" w:hAnsiTheme="minorEastAsia" w:eastAsiaTheme="minorEastAsia" w:cstheme="minorEastAsia"/>
                <w:bCs/>
                <w:color w:val="auto"/>
                <w:sz w:val="22"/>
                <w:szCs w:val="22"/>
                <w:highlight w:val="none"/>
              </w:rPr>
              <w:t xml:space="preserve">上述要点且满足磋商文件要求的得1分，最高得3分，不提供的不得分。</w:t>
            </w:r>
            <w:r/>
          </w:p>
          <w:p>
            <w:pPr>
              <w:rPr>
                <w:rFonts w:hint="eastAsia" w:asciiTheme="minorEastAsia" w:hAnsiTheme="minorEastAsia" w:eastAsiaTheme="minorEastAsia" w:cstheme="minorEastAsia"/>
                <w:color w:val="auto"/>
                <w:sz w:val="22"/>
                <w:szCs w:val="22"/>
                <w:highlight w:val="none"/>
                <w:lang w:val="zh-CN"/>
              </w:rPr>
            </w:pPr>
            <w:r>
              <w:rPr>
                <w:rFonts w:hint="eastAsia" w:asciiTheme="minorEastAsia" w:hAnsiTheme="minorEastAsia" w:eastAsiaTheme="minorEastAsia" w:cstheme="minorEastAsia"/>
                <w:color w:val="auto"/>
                <w:sz w:val="22"/>
                <w:szCs w:val="22"/>
                <w:highlight w:val="none"/>
              </w:rPr>
              <w:t xml:space="preserve">提供故障分析及改进措施跟踪方案的，加</w:t>
            </w:r>
            <w:r>
              <w:rPr>
                <w:rFonts w:hint="eastAsia" w:asciiTheme="minorEastAsia" w:hAnsiTheme="minorEastAsia" w:eastAsiaTheme="minorEastAsia" w:cstheme="minorEastAsia"/>
                <w:color w:val="auto"/>
                <w:sz w:val="22"/>
                <w:szCs w:val="22"/>
                <w:highlight w:val="none"/>
                <w:lang w:val="en-US" w:eastAsia="zh-CN"/>
              </w:rPr>
              <w:t xml:space="preserve">1</w:t>
            </w:r>
            <w:r>
              <w:rPr>
                <w:rFonts w:hint="eastAsia" w:asciiTheme="minorEastAsia" w:hAnsiTheme="minorEastAsia" w:eastAsiaTheme="minorEastAsia" w:cstheme="minorEastAsia"/>
                <w:color w:val="auto"/>
                <w:sz w:val="22"/>
                <w:szCs w:val="22"/>
                <w:highlight w:val="none"/>
              </w:rPr>
              <w:t xml:space="preserve">分。</w:t>
            </w:r>
            <w:r/>
          </w:p>
        </w:tc>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lang w:val="en-US" w:eastAsia="zh-CN"/>
              </w:rPr>
              <w:t xml:space="preserve">4</w:t>
            </w:r>
            <w:r/>
          </w:p>
        </w:tc>
      </w:tr>
      <w:tr>
        <w:trPr>
          <w:trHeight w:val="749" w:hRule="exact"/>
        </w:trPr>
        <w:tc>
          <w:tcPr>
            <w:gridSpan w:val="3"/>
            <w:tcBorders>
              <w:top w:val="single" w:color="000000" w:sz="2" w:space="0"/>
              <w:left w:val="single" w:color="000000" w:sz="2" w:space="0"/>
              <w:bottom w:val="single" w:color="000000" w:sz="2" w:space="0"/>
              <w:right w:val="single" w:color="000000" w:sz="2" w:space="0"/>
            </w:tcBorders>
            <w:tcW w:w="8690" w:type="dxa"/>
            <w:vAlign w:val="center"/>
            <w:textDirection w:val="lrTb"/>
            <w:noWrap w:val="false"/>
          </w:tcPr>
          <w:p>
            <w:pPr>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服务承诺评价</w:t>
            </w:r>
            <w:r/>
          </w:p>
        </w:tc>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lang w:val="en-US" w:eastAsia="zh-CN"/>
              </w:rPr>
              <w:t xml:space="preserve">6</w:t>
            </w:r>
            <w:r/>
          </w:p>
        </w:tc>
      </w:tr>
      <w:tr>
        <w:trPr>
          <w:trHeight w:val="4670" w:hRule="exact"/>
        </w:trPr>
        <w:tc>
          <w:tcPr>
            <w:tcBorders>
              <w:top w:val="single" w:color="000000" w:sz="2" w:space="0"/>
              <w:left w:val="single" w:color="000000" w:sz="2" w:space="0"/>
              <w:bottom w:val="single" w:color="000000" w:sz="2" w:space="0"/>
              <w:right w:val="single" w:color="000000" w:sz="2" w:space="0"/>
            </w:tcBorders>
            <w:tcW w:w="851" w:type="dxa"/>
            <w:vAlign w:val="center"/>
            <w:textDirection w:val="lrTb"/>
            <w:noWrap w:val="false"/>
          </w:tcPr>
          <w:p>
            <w:pPr>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2.1</w:t>
            </w:r>
            <w:r/>
          </w:p>
        </w:tc>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服务响应评价</w:t>
            </w:r>
            <w:r/>
          </w:p>
        </w:tc>
        <w:tc>
          <w:tcPr>
            <w:tcBorders>
              <w:top w:val="single" w:color="000000" w:sz="2" w:space="0"/>
              <w:left w:val="single" w:color="000000" w:sz="2" w:space="0"/>
              <w:bottom w:val="single" w:color="000000" w:sz="2" w:space="0"/>
              <w:right w:val="single" w:color="000000" w:sz="2" w:space="0"/>
            </w:tcBorders>
            <w:tcW w:w="6847" w:type="dxa"/>
            <w:vAlign w:val="center"/>
            <w:textDirection w:val="lrTb"/>
            <w:noWrap w:val="false"/>
          </w:tcPr>
          <w:p>
            <w:pP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根据供应商对以下服务要求的逐条响应，每承诺满足一条要求且响应准确清晰的得1分，最高得</w:t>
            </w:r>
            <w:r>
              <w:rPr>
                <w:rFonts w:hint="eastAsia" w:asciiTheme="minorEastAsia" w:hAnsiTheme="minorEastAsia" w:eastAsiaTheme="minorEastAsia" w:cstheme="minorEastAsia"/>
                <w:color w:val="auto"/>
                <w:sz w:val="22"/>
                <w:szCs w:val="22"/>
                <w:highlight w:val="none"/>
                <w:lang w:val="en-US" w:eastAsia="zh-CN"/>
              </w:rPr>
              <w:t xml:space="preserve">6</w:t>
            </w:r>
            <w:r>
              <w:rPr>
                <w:rFonts w:hint="eastAsia" w:asciiTheme="minorEastAsia" w:hAnsiTheme="minorEastAsia" w:eastAsiaTheme="minorEastAsia" w:cstheme="minorEastAsia"/>
                <w:color w:val="auto"/>
                <w:sz w:val="22"/>
                <w:szCs w:val="22"/>
                <w:highlight w:val="none"/>
              </w:rPr>
              <w:t xml:space="preserve">分。</w:t>
            </w:r>
            <w:r/>
          </w:p>
          <w:p>
            <w:pPr>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r>
            <w:r/>
          </w:p>
          <w:p>
            <w:pP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服务要求：</w:t>
            </w:r>
            <w:r/>
          </w:p>
          <w:p>
            <w:pP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1、供应商需提供系统日常巡检服务；</w:t>
            </w:r>
            <w:r/>
          </w:p>
          <w:p>
            <w:pP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2、供应商需提供每月设备养护；</w:t>
            </w:r>
            <w:r/>
          </w:p>
          <w:p>
            <w:pP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3、当出现硬件系统问题或需要调整硬件系统结构时，供应商需及时安排经验丰富的工程师制定解决方案，并协助采购人实施直至问题得到解决。</w:t>
            </w:r>
            <w:r/>
          </w:p>
          <w:p>
            <w:pP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4、供应商需提供全天候7*24小时的技术服务，故障抢修的响应时间和故障处置时间需满足磋商文件的要求。</w:t>
            </w:r>
            <w:r/>
          </w:p>
          <w:p>
            <w:pP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5、根据采购人要求，供应商需做好安全整改、不限次的系统升级、停机维护、设备迁移以及采购人认为应当由供应商完成的网络安全运维工作</w:t>
            </w:r>
            <w:r/>
          </w:p>
          <w:p>
            <w:pP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6、供应商需按照采购人要求提供技术培训服务；</w:t>
            </w:r>
            <w:r/>
          </w:p>
          <w:p>
            <w:pP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r>
            <w:bookmarkEnd w:id="93"/>
            <w:r/>
          </w:p>
        </w:tc>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 xml:space="preserve">6</w:t>
            </w:r>
            <w:r/>
          </w:p>
        </w:tc>
      </w:tr>
    </w:tbl>
    <w:p>
      <w:pPr>
        <w:rPr>
          <w:color w:val="auto"/>
          <w:highlight w:val="none"/>
        </w:rPr>
      </w:pPr>
      <w:r>
        <w:rPr>
          <w:color w:val="auto"/>
          <w:highlight w:val="none"/>
        </w:rPr>
      </w:r>
      <w:r/>
    </w:p>
    <w:p>
      <w:pPr>
        <w:rPr>
          <w:color w:val="auto"/>
          <w:sz w:val="20"/>
          <w:highlight w:val="none"/>
        </w:rPr>
      </w:pPr>
      <w:r>
        <w:rPr>
          <w:rFonts w:hint="eastAsia"/>
          <w:color w:val="auto"/>
          <w:sz w:val="20"/>
          <w:highlight w:val="none"/>
        </w:rPr>
        <w:t xml:space="preserve"> </w:t>
      </w:r>
      <w:bookmarkEnd w:id="94"/>
      <w:r/>
      <w:r/>
    </w:p>
    <w:p>
      <w:pPr>
        <w:numPr>
          <w:ilvl w:val="0"/>
          <w:numId w:val="6"/>
        </w:numPr>
        <w:jc w:val="left"/>
        <w:widowControl/>
        <w:rPr>
          <w:rFonts w:ascii="宋体" w:hAnsi="宋体"/>
          <w:b/>
          <w:color w:val="auto"/>
          <w:sz w:val="24"/>
          <w:highlight w:val="none"/>
        </w:rPr>
      </w:pPr>
      <w:r>
        <w:rPr>
          <w:rFonts w:hint="eastAsia" w:ascii="宋体" w:hAnsi="宋体"/>
          <w:b/>
          <w:color w:val="auto"/>
          <w:sz w:val="24"/>
          <w:highlight w:val="none"/>
        </w:rPr>
        <w:t xml:space="preserve">商务评估</w:t>
      </w:r>
      <w:r/>
    </w:p>
    <w:tbl>
      <w:tblPr>
        <w:tblStyle w:val="663"/>
        <w:tblW w:w="95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421"/>
        <w:gridCol w:w="6376"/>
        <w:gridCol w:w="812"/>
      </w:tblGrid>
      <w:tr>
        <w:trPr/>
        <w:tc>
          <w:tcPr>
            <w:tcW w:w="959" w:type="dxa"/>
            <w:vAlign w:val="center"/>
            <w:textDirection w:val="lrTb"/>
            <w:noWrap w:val="false"/>
          </w:tcPr>
          <w:p>
            <w:pPr>
              <w:jc w:val="center"/>
              <w:spacing w:before="120" w:after="120"/>
              <w:rPr>
                <w:rFonts w:hint="eastAsia" w:ascii="仿宋" w:hAnsi="仿宋" w:eastAsia="仿宋"/>
                <w:b/>
                <w:color w:val="auto"/>
                <w:sz w:val="22"/>
                <w:highlight w:val="none"/>
              </w:rPr>
            </w:pPr>
            <w:r>
              <w:rPr>
                <w:rFonts w:hint="eastAsia" w:ascii="仿宋" w:hAnsi="仿宋" w:eastAsia="仿宋"/>
                <w:b/>
                <w:color w:val="auto"/>
                <w:sz w:val="22"/>
                <w:highlight w:val="none"/>
              </w:rPr>
              <w:t xml:space="preserve">序号</w:t>
            </w:r>
            <w:r/>
          </w:p>
        </w:tc>
        <w:tc>
          <w:tcPr>
            <w:tcW w:w="1421" w:type="dxa"/>
            <w:vAlign w:val="center"/>
            <w:textDirection w:val="lrTb"/>
            <w:noWrap w:val="false"/>
          </w:tcPr>
          <w:p>
            <w:pPr>
              <w:jc w:val="center"/>
              <w:spacing w:before="120" w:after="120"/>
              <w:rPr>
                <w:rFonts w:hint="eastAsia" w:ascii="仿宋" w:hAnsi="仿宋" w:eastAsia="仿宋"/>
                <w:b/>
                <w:color w:val="auto"/>
                <w:sz w:val="22"/>
                <w:highlight w:val="none"/>
              </w:rPr>
            </w:pPr>
            <w:r>
              <w:rPr>
                <w:rFonts w:hint="eastAsia" w:ascii="仿宋" w:hAnsi="仿宋" w:eastAsia="仿宋"/>
                <w:b/>
                <w:color w:val="auto"/>
                <w:sz w:val="22"/>
                <w:highlight w:val="none"/>
              </w:rPr>
              <w:t xml:space="preserve">评分点名称</w:t>
            </w:r>
            <w:r/>
          </w:p>
        </w:tc>
        <w:tc>
          <w:tcPr>
            <w:tcW w:w="6376" w:type="dxa"/>
            <w:textDirection w:val="lrTb"/>
            <w:noWrap w:val="false"/>
          </w:tcPr>
          <w:p>
            <w:pPr>
              <w:jc w:val="center"/>
              <w:spacing w:before="120" w:after="120"/>
              <w:rPr>
                <w:rFonts w:hint="eastAsia" w:ascii="仿宋" w:hAnsi="仿宋" w:eastAsia="仿宋"/>
                <w:b/>
                <w:color w:val="auto"/>
                <w:sz w:val="22"/>
                <w:highlight w:val="none"/>
              </w:rPr>
            </w:pPr>
            <w:r>
              <w:rPr>
                <w:rFonts w:hint="eastAsia" w:ascii="仿宋" w:hAnsi="仿宋" w:eastAsia="仿宋"/>
                <w:b/>
                <w:color w:val="auto"/>
                <w:sz w:val="22"/>
                <w:highlight w:val="none"/>
              </w:rPr>
              <w:t xml:space="preserve">评审标准</w:t>
            </w:r>
            <w:r/>
          </w:p>
        </w:tc>
        <w:tc>
          <w:tcPr>
            <w:tcW w:w="812" w:type="dxa"/>
            <w:vAlign w:val="center"/>
            <w:textDirection w:val="lrTb"/>
            <w:noWrap w:val="false"/>
          </w:tcPr>
          <w:p>
            <w:pPr>
              <w:jc w:val="center"/>
              <w:spacing w:before="120" w:after="120"/>
              <w:rPr>
                <w:rFonts w:hint="eastAsia" w:ascii="仿宋" w:hAnsi="仿宋" w:eastAsia="仿宋"/>
                <w:b/>
                <w:color w:val="auto"/>
                <w:sz w:val="22"/>
                <w:highlight w:val="none"/>
              </w:rPr>
            </w:pPr>
            <w:r>
              <w:rPr>
                <w:rFonts w:hint="eastAsia" w:ascii="仿宋" w:hAnsi="仿宋" w:eastAsia="仿宋"/>
                <w:b/>
                <w:color w:val="auto"/>
                <w:sz w:val="22"/>
                <w:highlight w:val="none"/>
              </w:rPr>
              <w:t xml:space="preserve">分值</w:t>
            </w:r>
            <w:r/>
          </w:p>
        </w:tc>
      </w:tr>
      <w:tr>
        <w:trPr/>
        <w:tc>
          <w:tcPr>
            <w:gridSpan w:val="3"/>
            <w:tcW w:w="8756" w:type="dxa"/>
            <w:vAlign w:val="center"/>
            <w:textDirection w:val="lrTb"/>
            <w:noWrap w:val="false"/>
          </w:tcPr>
          <w:p>
            <w:pPr>
              <w:jc w:val="center"/>
              <w:spacing w:before="120" w:after="120"/>
              <w:rPr>
                <w:rFonts w:hint="eastAsia" w:ascii="仿宋" w:hAnsi="仿宋" w:eastAsia="仿宋"/>
                <w:b/>
                <w:color w:val="auto"/>
                <w:sz w:val="22"/>
                <w:highlight w:val="none"/>
              </w:rPr>
            </w:pPr>
            <w:r>
              <w:rPr>
                <w:rFonts w:hint="eastAsia" w:ascii="仿宋" w:hAnsi="仿宋" w:eastAsia="仿宋"/>
                <w:b/>
                <w:color w:val="auto"/>
                <w:sz w:val="22"/>
                <w:highlight w:val="none"/>
              </w:rPr>
              <w:t xml:space="preserve">投标人资质及荣誉</w:t>
            </w:r>
            <w:r/>
          </w:p>
        </w:tc>
        <w:tc>
          <w:tcPr>
            <w:tcW w:w="812" w:type="dxa"/>
            <w:vAlign w:val="center"/>
            <w:textDirection w:val="lrTb"/>
            <w:noWrap w:val="false"/>
          </w:tcPr>
          <w:p>
            <w:pPr>
              <w:jc w:val="center"/>
              <w:spacing w:before="120" w:after="120"/>
              <w:rPr>
                <w:rFonts w:hint="eastAsia" w:ascii="仿宋" w:hAnsi="仿宋" w:eastAsia="仿宋"/>
                <w:b/>
                <w:color w:val="auto"/>
                <w:sz w:val="22"/>
                <w:highlight w:val="none"/>
                <w:lang w:eastAsia="zh-CN"/>
              </w:rPr>
            </w:pPr>
            <w:r>
              <w:rPr>
                <w:rFonts w:hint="eastAsia" w:ascii="仿宋" w:hAnsi="仿宋" w:eastAsia="仿宋"/>
                <w:b/>
                <w:color w:val="auto"/>
                <w:sz w:val="22"/>
                <w:highlight w:val="none"/>
              </w:rPr>
              <w:t xml:space="preserve">1</w:t>
            </w:r>
            <w:r>
              <w:rPr>
                <w:rFonts w:hint="eastAsia" w:ascii="仿宋" w:hAnsi="仿宋" w:eastAsia="仿宋"/>
                <w:b/>
                <w:color w:val="auto"/>
                <w:sz w:val="22"/>
                <w:highlight w:val="none"/>
                <w:lang w:val="en-US" w:eastAsia="zh-CN"/>
              </w:rPr>
              <w:t xml:space="preserve">2</w:t>
            </w:r>
            <w:r/>
          </w:p>
        </w:tc>
      </w:tr>
      <w:tr>
        <w:trPr/>
        <w:tc>
          <w:tcPr>
            <w:tcW w:w="959" w:type="dxa"/>
            <w:vAlign w:val="center"/>
            <w:textDirection w:val="lrTb"/>
            <w:noWrap w:val="false"/>
          </w:tcPr>
          <w:p>
            <w:pPr>
              <w:jc w:val="center"/>
              <w:spacing w:before="120" w:after="120"/>
              <w:rPr>
                <w:rFonts w:hint="eastAsia" w:ascii="仿宋" w:hAnsi="仿宋" w:eastAsia="仿宋"/>
                <w:b/>
                <w:color w:val="auto"/>
                <w:sz w:val="22"/>
                <w:highlight w:val="none"/>
              </w:rPr>
            </w:pPr>
            <w:r>
              <w:rPr>
                <w:rFonts w:hint="eastAsia" w:ascii="仿宋" w:hAnsi="仿宋" w:eastAsia="仿宋"/>
                <w:b/>
                <w:color w:val="auto"/>
                <w:sz w:val="22"/>
                <w:highlight w:val="none"/>
              </w:rPr>
              <w:t xml:space="preserve">1.1</w:t>
            </w:r>
            <w:r/>
          </w:p>
        </w:tc>
        <w:tc>
          <w:tcPr>
            <w:tcW w:w="1421" w:type="dxa"/>
            <w:vAlign w:val="center"/>
            <w:textDirection w:val="lrTb"/>
            <w:noWrap w:val="false"/>
          </w:tcPr>
          <w:p>
            <w:pPr>
              <w:jc w:val="center"/>
              <w:spacing w:before="120" w:after="120"/>
              <w:rPr>
                <w:rFonts w:hint="eastAsia" w:ascii="仿宋" w:hAnsi="仿宋" w:eastAsia="仿宋"/>
                <w:b/>
                <w:color w:val="auto"/>
                <w:sz w:val="22"/>
                <w:highlight w:val="none"/>
              </w:rPr>
            </w:pPr>
            <w:r>
              <w:rPr>
                <w:rFonts w:hint="eastAsia" w:ascii="宋体" w:hAnsi="宋体" w:cs="宋体"/>
                <w:color w:val="auto"/>
                <w:sz w:val="22"/>
                <w:highlight w:val="none"/>
                <w:lang w:bidi="ar"/>
              </w:rPr>
              <w:t xml:space="preserve">供应商实力</w:t>
            </w:r>
            <w:r/>
          </w:p>
        </w:tc>
        <w:tc>
          <w:tcPr>
            <w:tcW w:w="6376" w:type="dxa"/>
            <w:vAlign w:val="center"/>
            <w:textDirection w:val="lrTb"/>
            <w:noWrap w:val="false"/>
          </w:tcPr>
          <w:p>
            <w:pPr>
              <w:jc w:val="left"/>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1、投标人具有</w:t>
            </w:r>
            <w:r>
              <w:rPr>
                <w:rFonts w:hint="eastAsia" w:ascii="宋体" w:hAnsi="宋体" w:cs="宋体"/>
                <w:color w:val="auto"/>
                <w:sz w:val="22"/>
                <w:highlight w:val="none"/>
                <w:lang w:val="zh-CN" w:bidi="ar"/>
              </w:rPr>
              <w:t xml:space="preserve">信息安全管理体系认证证书；</w:t>
            </w:r>
            <w:r>
              <w:rPr>
                <w:rFonts w:hint="eastAsia" w:ascii="宋体" w:hAnsi="宋体" w:cs="宋体"/>
                <w:color w:val="auto"/>
                <w:sz w:val="22"/>
                <w:highlight w:val="none"/>
                <w:lang w:bidi="ar"/>
              </w:rPr>
              <w:t xml:space="preserve">信息技术服务管理体系认证证书</w:t>
            </w:r>
            <w:r>
              <w:rPr>
                <w:rFonts w:hint="eastAsia" w:ascii="宋体" w:hAnsi="宋体" w:cs="宋体"/>
                <w:color w:val="auto"/>
                <w:sz w:val="22"/>
                <w:highlight w:val="none"/>
                <w:lang w:val="zh-CN" w:bidi="ar"/>
              </w:rPr>
              <w:t xml:space="preserve">；</w:t>
            </w:r>
            <w:r>
              <w:rPr>
                <w:rFonts w:hint="eastAsia" w:ascii="宋体" w:hAnsi="宋体" w:cs="宋体"/>
                <w:color w:val="auto"/>
                <w:sz w:val="22"/>
                <w:highlight w:val="none"/>
                <w:lang w:bidi="ar"/>
              </w:rPr>
              <w:t xml:space="preserve">信息技术服务运行维护标准（ITSS）符合性证书</w:t>
            </w:r>
            <w:r>
              <w:rPr>
                <w:rFonts w:hint="eastAsia" w:ascii="宋体" w:hAnsi="宋体" w:cs="宋体"/>
                <w:color w:val="auto"/>
                <w:sz w:val="22"/>
                <w:highlight w:val="none"/>
                <w:lang w:val="en-US" w:eastAsia="zh-CN" w:bidi="ar"/>
              </w:rPr>
              <w:t xml:space="preserve">。</w:t>
            </w:r>
            <w:r>
              <w:rPr>
                <w:rFonts w:hint="eastAsia" w:ascii="宋体" w:hAnsi="宋体" w:cs="宋体"/>
                <w:color w:val="auto"/>
                <w:sz w:val="22"/>
                <w:highlight w:val="none"/>
                <w:lang w:bidi="ar"/>
              </w:rPr>
              <w:t xml:space="preserve">每有一个证书的得2分，最多得6分</w:t>
            </w:r>
            <w:r/>
          </w:p>
          <w:p>
            <w:pPr>
              <w:jc w:val="left"/>
              <w:rPr>
                <w:rFonts w:hint="eastAsia" w:ascii="仿宋" w:hAnsi="仿宋" w:eastAsia="仿宋"/>
                <w:b/>
                <w:color w:val="auto"/>
                <w:sz w:val="22"/>
                <w:highlight w:val="none"/>
              </w:rPr>
            </w:pPr>
            <w:r>
              <w:rPr>
                <w:rFonts w:hint="eastAsia" w:ascii="宋体" w:hAnsi="宋体" w:cs="宋体"/>
                <w:color w:val="auto"/>
                <w:sz w:val="22"/>
                <w:highlight w:val="none"/>
                <w:lang w:bidi="ar"/>
              </w:rPr>
              <w:t xml:space="preserve">注:须提供以上有效期内证书复印件或扫描件，并提供全国认证认可信息公共服务平台证书查询截图。以上证明材料应加盖投标人公章，未按要求提供不得分。</w:t>
            </w:r>
            <w:r/>
          </w:p>
        </w:tc>
        <w:tc>
          <w:tcPr>
            <w:tcW w:w="812" w:type="dxa"/>
            <w:vAlign w:val="center"/>
            <w:textDirection w:val="lrTb"/>
            <w:noWrap w:val="false"/>
          </w:tcPr>
          <w:p>
            <w:pPr>
              <w:jc w:val="center"/>
              <w:spacing w:before="120" w:after="120"/>
              <w:rPr>
                <w:rFonts w:hint="eastAsia" w:ascii="仿宋" w:hAnsi="仿宋" w:eastAsia="仿宋"/>
                <w:b/>
                <w:color w:val="auto"/>
                <w:sz w:val="22"/>
                <w:highlight w:val="none"/>
                <w:lang w:eastAsia="zh-CN"/>
              </w:rPr>
            </w:pPr>
            <w:r>
              <w:rPr>
                <w:rFonts w:hint="eastAsia" w:ascii="仿宋" w:hAnsi="仿宋" w:eastAsia="仿宋"/>
                <w:b/>
                <w:color w:val="auto"/>
                <w:sz w:val="22"/>
                <w:highlight w:val="none"/>
                <w:lang w:val="en-US" w:eastAsia="zh-CN"/>
              </w:rPr>
              <w:t xml:space="preserve">6</w:t>
            </w:r>
            <w:r/>
          </w:p>
        </w:tc>
      </w:tr>
      <w:tr>
        <w:trPr/>
        <w:tc>
          <w:tcPr>
            <w:tcW w:w="959" w:type="dxa"/>
            <w:vAlign w:val="center"/>
            <w:textDirection w:val="lrTb"/>
            <w:noWrap w:val="false"/>
          </w:tcPr>
          <w:p>
            <w:pPr>
              <w:jc w:val="center"/>
              <w:spacing w:before="120" w:after="120"/>
              <w:rPr>
                <w:rFonts w:hint="eastAsia" w:ascii="仿宋" w:hAnsi="仿宋" w:eastAsia="仿宋"/>
                <w:b/>
                <w:color w:val="auto"/>
                <w:sz w:val="22"/>
                <w:highlight w:val="none"/>
              </w:rPr>
            </w:pPr>
            <w:r>
              <w:rPr>
                <w:rFonts w:hint="eastAsia" w:ascii="仿宋" w:hAnsi="仿宋" w:eastAsia="仿宋"/>
                <w:b/>
                <w:color w:val="auto"/>
                <w:sz w:val="22"/>
                <w:highlight w:val="none"/>
              </w:rPr>
              <w:t xml:space="preserve">1.2</w:t>
            </w:r>
            <w:r/>
          </w:p>
          <w:p>
            <w:pPr>
              <w:jc w:val="center"/>
              <w:spacing w:before="120" w:after="120"/>
              <w:rPr>
                <w:rFonts w:hint="eastAsia" w:ascii="仿宋" w:hAnsi="仿宋" w:eastAsia="仿宋"/>
                <w:b/>
                <w:color w:val="auto"/>
                <w:sz w:val="22"/>
                <w:highlight w:val="none"/>
              </w:rPr>
            </w:pPr>
            <w:r>
              <w:rPr>
                <w:rFonts w:hint="eastAsia" w:ascii="仿宋" w:hAnsi="仿宋" w:eastAsia="仿宋"/>
                <w:b/>
                <w:color w:val="auto"/>
                <w:sz w:val="22"/>
                <w:highlight w:val="none"/>
              </w:rPr>
            </w:r>
            <w:r/>
          </w:p>
        </w:tc>
        <w:tc>
          <w:tcPr>
            <w:tcW w:w="1421" w:type="dxa"/>
            <w:vAlign w:val="center"/>
            <w:textDirection w:val="lrTb"/>
            <w:noWrap w:val="false"/>
          </w:tcPr>
          <w:p>
            <w:pPr>
              <w:jc w:val="center"/>
              <w:spacing w:before="120" w:after="120"/>
              <w:rPr>
                <w:rFonts w:hint="eastAsia" w:ascii="仿宋" w:hAnsi="仿宋" w:eastAsia="仿宋"/>
                <w:b/>
                <w:color w:val="auto"/>
                <w:sz w:val="22"/>
                <w:highlight w:val="none"/>
              </w:rPr>
            </w:pPr>
            <w:r>
              <w:rPr>
                <w:rFonts w:hint="eastAsia" w:ascii="宋体" w:hAnsi="宋体" w:cs="宋体"/>
                <w:color w:val="auto"/>
                <w:sz w:val="22"/>
                <w:highlight w:val="none"/>
              </w:rPr>
              <w:t xml:space="preserve">业绩证明</w:t>
            </w:r>
            <w:r/>
          </w:p>
        </w:tc>
        <w:tc>
          <w:tcPr>
            <w:tcW w:w="6376" w:type="dxa"/>
            <w:vAlign w:val="center"/>
            <w:textDirection w:val="lrTb"/>
            <w:noWrap w:val="false"/>
          </w:tcPr>
          <w:p>
            <w:pPr>
              <w:jc w:val="left"/>
              <w:spacing w:before="120" w:after="120"/>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提供投标人近三年内（2023年1月1日以来）（以合同签订时间为准），针对本次项目标的类似的运维服务项目案例，每提供一个案例合同得2分，最高得6分。</w:t>
            </w:r>
            <w:r/>
          </w:p>
          <w:p>
            <w:pPr>
              <w:jc w:val="left"/>
              <w:spacing w:before="120" w:after="120"/>
              <w:rPr>
                <w:rFonts w:hint="eastAsia" w:ascii="仿宋" w:hAnsi="仿宋" w:eastAsia="仿宋"/>
                <w:b/>
                <w:color w:val="auto"/>
                <w:sz w:val="22"/>
                <w:highlight w:val="none"/>
              </w:rPr>
            </w:pPr>
            <w:r>
              <w:rPr>
                <w:rFonts w:hint="eastAsia" w:ascii="宋体" w:hAnsi="宋体" w:cs="宋体"/>
                <w:color w:val="auto"/>
                <w:sz w:val="22"/>
                <w:highlight w:val="none"/>
                <w:lang w:bidi="ar"/>
              </w:rPr>
              <w:t xml:space="preserve">注：须提供合同复印件或扫描件，并加盖投标人公章，未按要求提供不得分。另：签订合同前，</w:t>
            </w:r>
            <w:r>
              <w:rPr>
                <w:rFonts w:hint="eastAsia" w:ascii="宋体" w:hAnsi="宋体" w:cs="宋体"/>
                <w:color w:val="auto"/>
                <w:sz w:val="22"/>
                <w:highlight w:val="none"/>
                <w:lang w:eastAsia="zh-CN" w:bidi="ar"/>
              </w:rPr>
              <w:t xml:space="preserve">采购</w:t>
            </w:r>
            <w:r>
              <w:rPr>
                <w:rFonts w:hint="eastAsia" w:ascii="宋体" w:hAnsi="宋体" w:cs="宋体"/>
                <w:color w:val="auto"/>
                <w:sz w:val="22"/>
                <w:highlight w:val="none"/>
                <w:lang w:bidi="ar"/>
              </w:rPr>
              <w:t xml:space="preserve">人有权查看合同原件，如</w:t>
            </w:r>
            <w:r>
              <w:rPr>
                <w:rFonts w:hint="eastAsia" w:ascii="宋体" w:hAnsi="宋体" w:cs="宋体"/>
                <w:color w:val="auto"/>
                <w:sz w:val="22"/>
                <w:highlight w:val="none"/>
                <w:lang w:eastAsia="zh-CN" w:bidi="ar"/>
              </w:rPr>
              <w:t xml:space="preserve">原件与复印件或扫描件</w:t>
            </w:r>
            <w:r>
              <w:rPr>
                <w:rFonts w:hint="eastAsia" w:ascii="宋体" w:hAnsi="宋体" w:cs="宋体"/>
                <w:color w:val="auto"/>
                <w:sz w:val="22"/>
                <w:highlight w:val="none"/>
                <w:lang w:bidi="ar"/>
              </w:rPr>
              <w:t xml:space="preserve">不符</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则视作投标人虚假应标</w:t>
            </w:r>
            <w:r>
              <w:rPr>
                <w:rFonts w:hint="eastAsia" w:ascii="宋体" w:hAnsi="宋体" w:cs="宋体"/>
                <w:color w:val="auto"/>
                <w:sz w:val="22"/>
                <w:highlight w:val="none"/>
                <w:lang w:eastAsia="zh-CN" w:bidi="ar"/>
              </w:rPr>
              <w:t xml:space="preserve">，上报上级监管部门依法处理</w:t>
            </w:r>
            <w:r>
              <w:rPr>
                <w:rFonts w:hint="eastAsia" w:ascii="宋体" w:hAnsi="宋体" w:cs="宋体"/>
                <w:color w:val="auto"/>
                <w:sz w:val="22"/>
                <w:highlight w:val="none"/>
                <w:lang w:bidi="ar"/>
              </w:rPr>
              <w:t xml:space="preserve">。</w:t>
            </w:r>
            <w:r/>
          </w:p>
        </w:tc>
        <w:tc>
          <w:tcPr>
            <w:tcW w:w="812" w:type="dxa"/>
            <w:vAlign w:val="center"/>
            <w:textDirection w:val="lrTb"/>
            <w:noWrap w:val="false"/>
          </w:tcPr>
          <w:p>
            <w:pPr>
              <w:jc w:val="center"/>
              <w:spacing w:before="120" w:after="120"/>
              <w:rPr>
                <w:rFonts w:hint="eastAsia" w:ascii="仿宋" w:hAnsi="仿宋" w:eastAsia="仿宋"/>
                <w:b/>
                <w:color w:val="auto"/>
                <w:sz w:val="22"/>
                <w:highlight w:val="none"/>
              </w:rPr>
            </w:pPr>
            <w:r>
              <w:rPr>
                <w:rFonts w:hint="eastAsia" w:ascii="仿宋" w:hAnsi="仿宋" w:eastAsia="仿宋"/>
                <w:b/>
                <w:color w:val="auto"/>
                <w:sz w:val="22"/>
                <w:highlight w:val="none"/>
              </w:rPr>
              <w:t xml:space="preserve">6</w:t>
            </w:r>
            <w:r/>
          </w:p>
        </w:tc>
      </w:tr>
      <w:tr>
        <w:trPr/>
        <w:tc>
          <w:tcPr>
            <w:gridSpan w:val="3"/>
            <w:tcW w:w="8756" w:type="dxa"/>
            <w:vAlign w:val="center"/>
            <w:textDirection w:val="lrTb"/>
            <w:noWrap w:val="false"/>
          </w:tcPr>
          <w:p>
            <w:pPr>
              <w:jc w:val="center"/>
              <w:spacing w:before="120" w:after="120"/>
              <w:rPr>
                <w:rFonts w:hint="eastAsia" w:ascii="宋体" w:hAnsi="宋体" w:cs="宋体"/>
                <w:color w:val="auto"/>
                <w:sz w:val="22"/>
                <w:highlight w:val="none"/>
                <w:lang w:bidi="ar"/>
              </w:rPr>
            </w:pPr>
            <w:r>
              <w:rPr>
                <w:rFonts w:hint="eastAsia" w:ascii="仿宋" w:hAnsi="仿宋" w:eastAsia="仿宋"/>
                <w:b/>
                <w:color w:val="auto"/>
                <w:sz w:val="22"/>
                <w:highlight w:val="none"/>
              </w:rPr>
              <w:t xml:space="preserve">履约能力</w:t>
            </w:r>
            <w:r/>
          </w:p>
        </w:tc>
        <w:tc>
          <w:tcPr>
            <w:tcW w:w="812" w:type="dxa"/>
            <w:vAlign w:val="center"/>
            <w:textDirection w:val="lrTb"/>
            <w:noWrap w:val="false"/>
          </w:tcPr>
          <w:p>
            <w:pPr>
              <w:jc w:val="center"/>
              <w:spacing w:before="120" w:after="120"/>
              <w:rPr>
                <w:rFonts w:hint="default" w:ascii="仿宋" w:hAnsi="仿宋" w:eastAsia="仿宋"/>
                <w:b/>
                <w:color w:val="auto"/>
                <w:sz w:val="22"/>
                <w:highlight w:val="none"/>
                <w:lang w:val="en-US" w:eastAsia="zh-CN"/>
              </w:rPr>
            </w:pPr>
            <w:r>
              <w:rPr>
                <w:rFonts w:hint="eastAsia" w:ascii="仿宋" w:hAnsi="仿宋" w:eastAsia="仿宋"/>
                <w:b/>
                <w:color w:val="auto"/>
                <w:sz w:val="22"/>
                <w:highlight w:val="none"/>
                <w:lang w:val="en-US" w:eastAsia="zh-CN"/>
              </w:rPr>
              <w:t xml:space="preserve">18</w:t>
            </w:r>
            <w:r/>
          </w:p>
        </w:tc>
      </w:tr>
      <w:tr>
        <w:trPr/>
        <w:tc>
          <w:tcPr>
            <w:tcW w:w="959" w:type="dxa"/>
            <w:vAlign w:val="center"/>
            <w:textDirection w:val="lrTb"/>
            <w:noWrap w:val="false"/>
          </w:tcPr>
          <w:p>
            <w:pPr>
              <w:jc w:val="center"/>
              <w:spacing w:before="120" w:after="120"/>
              <w:rPr>
                <w:rFonts w:hint="eastAsia" w:ascii="仿宋" w:hAnsi="仿宋" w:eastAsia="仿宋"/>
                <w:b/>
                <w:color w:val="auto"/>
                <w:sz w:val="22"/>
                <w:highlight w:val="none"/>
              </w:rPr>
            </w:pPr>
            <w:r>
              <w:rPr>
                <w:rFonts w:hint="eastAsia" w:ascii="仿宋" w:hAnsi="仿宋" w:eastAsia="仿宋"/>
                <w:b/>
                <w:color w:val="auto"/>
                <w:sz w:val="22"/>
                <w:highlight w:val="none"/>
              </w:rPr>
              <w:t xml:space="preserve">2.1</w:t>
            </w:r>
            <w:r/>
          </w:p>
        </w:tc>
        <w:tc>
          <w:tcPr>
            <w:tcW w:w="1421" w:type="dxa"/>
            <w:vAlign w:val="center"/>
            <w:textDirection w:val="lrTb"/>
            <w:noWrap w:val="false"/>
          </w:tcPr>
          <w:p>
            <w:pPr>
              <w:jc w:val="center"/>
              <w:spacing w:before="120" w:after="120"/>
              <w:rPr>
                <w:rFonts w:hint="eastAsia" w:ascii="宋体" w:hAnsi="宋体" w:cs="宋体"/>
                <w:color w:val="auto"/>
                <w:sz w:val="22"/>
                <w:highlight w:val="none"/>
              </w:rPr>
            </w:pPr>
            <w:r>
              <w:rPr>
                <w:rFonts w:hint="eastAsia" w:ascii="仿宋" w:hAnsi="仿宋" w:eastAsia="仿宋"/>
                <w:b/>
                <w:color w:val="auto"/>
                <w:sz w:val="22"/>
                <w:highlight w:val="none"/>
              </w:rPr>
              <w:t xml:space="preserve">项目经理</w:t>
            </w:r>
            <w:r/>
          </w:p>
        </w:tc>
        <w:tc>
          <w:tcPr>
            <w:tcW w:w="6376" w:type="dxa"/>
            <w:vAlign w:val="center"/>
            <w:textDirection w:val="lrTb"/>
            <w:noWrap w:val="false"/>
          </w:tcPr>
          <w:p>
            <w:pPr>
              <w:jc w:val="left"/>
              <w:spacing w:before="120" w:after="120"/>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拟投入本项目项目经理 (驻场工程师和服务团队人员除外):具有CCSC网络安全能力认证证书、CISP注册信息安全专业人员证书的</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每有1个得2分，本项最高得</w:t>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分。</w:t>
            </w:r>
            <w:r/>
          </w:p>
          <w:p>
            <w:pPr>
              <w:jc w:val="left"/>
              <w:spacing w:before="120" w:after="120"/>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注：须提供以上项目经理相关证书扫描件、近半年内任意</w:t>
            </w:r>
            <w:r>
              <w:rPr>
                <w:rFonts w:hint="eastAsia" w:ascii="宋体" w:hAnsi="宋体" w:cs="宋体"/>
                <w:color w:val="auto"/>
                <w:sz w:val="22"/>
                <w:highlight w:val="none"/>
                <w:lang w:eastAsia="zh-CN" w:bidi="ar"/>
              </w:rPr>
              <w:t xml:space="preserve">一</w:t>
            </w:r>
            <w:r>
              <w:rPr>
                <w:rFonts w:hint="eastAsia" w:ascii="宋体" w:hAnsi="宋体" w:cs="宋体"/>
                <w:color w:val="auto"/>
                <w:sz w:val="22"/>
                <w:highlight w:val="none"/>
                <w:lang w:bidi="ar"/>
              </w:rPr>
              <w:t xml:space="preserve">个月供应商为其缴纳的社会保险证明材料。以上证明材料需加盖投标人公章，未按要求提供不得分。</w:t>
            </w:r>
            <w:r/>
          </w:p>
        </w:tc>
        <w:tc>
          <w:tcPr>
            <w:tcW w:w="812" w:type="dxa"/>
            <w:vAlign w:val="center"/>
            <w:textDirection w:val="lrTb"/>
            <w:noWrap w:val="false"/>
          </w:tcPr>
          <w:p>
            <w:pPr>
              <w:jc w:val="center"/>
              <w:spacing w:before="120" w:after="120"/>
              <w:rPr>
                <w:rFonts w:hint="eastAsia" w:ascii="仿宋" w:hAnsi="仿宋" w:eastAsia="仿宋"/>
                <w:b/>
                <w:color w:val="auto"/>
                <w:sz w:val="22"/>
                <w:highlight w:val="none"/>
                <w:lang w:eastAsia="zh-CN"/>
              </w:rPr>
            </w:pPr>
            <w:r>
              <w:rPr>
                <w:rFonts w:hint="eastAsia" w:ascii="仿宋" w:hAnsi="仿宋" w:eastAsia="仿宋"/>
                <w:b/>
                <w:color w:val="auto"/>
                <w:sz w:val="22"/>
                <w:highlight w:val="none"/>
                <w:lang w:val="en-US" w:eastAsia="zh-CN"/>
              </w:rPr>
              <w:t xml:space="preserve">4</w:t>
            </w:r>
            <w:r/>
          </w:p>
        </w:tc>
      </w:tr>
      <w:tr>
        <w:trPr/>
        <w:tc>
          <w:tcPr>
            <w:tcW w:w="959" w:type="dxa"/>
            <w:vAlign w:val="center"/>
            <w:textDirection w:val="lrTb"/>
            <w:noWrap w:val="false"/>
          </w:tcPr>
          <w:p>
            <w:pPr>
              <w:jc w:val="center"/>
              <w:spacing w:before="120" w:after="120"/>
              <w:rPr>
                <w:rFonts w:hint="eastAsia" w:ascii="仿宋" w:hAnsi="仿宋" w:eastAsia="仿宋"/>
                <w:b/>
                <w:color w:val="auto"/>
                <w:sz w:val="22"/>
                <w:highlight w:val="none"/>
              </w:rPr>
            </w:pPr>
            <w:r>
              <w:rPr>
                <w:rFonts w:hint="eastAsia" w:ascii="仿宋" w:hAnsi="仿宋" w:eastAsia="仿宋"/>
                <w:b/>
                <w:color w:val="auto"/>
                <w:sz w:val="22"/>
                <w:highlight w:val="none"/>
              </w:rPr>
              <w:t xml:space="preserve">2.2</w:t>
            </w:r>
            <w:r/>
          </w:p>
        </w:tc>
        <w:tc>
          <w:tcPr>
            <w:tcW w:w="1421" w:type="dxa"/>
            <w:vAlign w:val="center"/>
            <w:textDirection w:val="lrTb"/>
            <w:noWrap w:val="false"/>
          </w:tcPr>
          <w:p>
            <w:pPr>
              <w:jc w:val="center"/>
              <w:spacing w:before="120" w:after="120"/>
              <w:rPr>
                <w:rFonts w:hint="eastAsia" w:ascii="仿宋" w:hAnsi="仿宋" w:eastAsia="仿宋"/>
                <w:b/>
                <w:color w:val="auto"/>
                <w:sz w:val="22"/>
                <w:highlight w:val="none"/>
              </w:rPr>
            </w:pPr>
            <w:r>
              <w:rPr>
                <w:rFonts w:hint="eastAsia" w:ascii="仿宋" w:hAnsi="仿宋" w:eastAsia="仿宋"/>
                <w:b/>
                <w:color w:val="auto"/>
                <w:sz w:val="22"/>
                <w:highlight w:val="none"/>
              </w:rPr>
              <w:t xml:space="preserve">网络和安全服务驻场工程师</w:t>
            </w:r>
            <w:r/>
          </w:p>
        </w:tc>
        <w:tc>
          <w:tcPr>
            <w:tcW w:w="6376" w:type="dxa"/>
            <w:vAlign w:val="center"/>
            <w:textDirection w:val="lrTb"/>
            <w:noWrap w:val="false"/>
          </w:tcPr>
          <w:p>
            <w:pPr>
              <w:jc w:val="left"/>
              <w:spacing w:before="120" w:after="120"/>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拟投入本项目</w:t>
            </w:r>
            <w:r>
              <w:rPr>
                <w:rFonts w:hint="eastAsia" w:ascii="宋体" w:hAnsi="宋体" w:cs="宋体"/>
                <w:color w:val="auto"/>
                <w:sz w:val="22"/>
                <w:highlight w:val="none"/>
                <w:lang w:val="en-US" w:eastAsia="zh-CN" w:bidi="ar"/>
              </w:rPr>
              <w:t xml:space="preserve">的</w:t>
            </w:r>
            <w:r>
              <w:rPr>
                <w:rFonts w:hint="eastAsia" w:ascii="宋体" w:hAnsi="宋体" w:cs="宋体"/>
                <w:color w:val="auto"/>
                <w:sz w:val="22"/>
                <w:highlight w:val="none"/>
                <w:lang w:bidi="ar"/>
              </w:rPr>
              <w:t xml:space="preserve">网络和安全服务驻场工程师 (项目经理和团队服务人员除外)：具有通过计算机技术与软件专业技术资格(水平)考试获得的网络工程师证书、CISAW信息安全保障人员认证证书的，每有1个证书得</w:t>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分，</w:t>
            </w:r>
            <w:r>
              <w:rPr>
                <w:rFonts w:hint="eastAsia" w:ascii="宋体" w:hAnsi="宋体" w:cs="宋体"/>
                <w:color w:val="auto"/>
                <w:sz w:val="22"/>
                <w:highlight w:val="none"/>
                <w:lang w:val="en-US" w:eastAsia="zh-CN" w:bidi="ar"/>
              </w:rPr>
              <w:t xml:space="preserve">本项</w:t>
            </w:r>
            <w:r>
              <w:rPr>
                <w:rFonts w:hint="eastAsia" w:ascii="宋体" w:hAnsi="宋体" w:cs="宋体"/>
                <w:color w:val="auto"/>
                <w:sz w:val="22"/>
                <w:highlight w:val="none"/>
                <w:lang w:bidi="ar"/>
              </w:rPr>
              <w:t xml:space="preserve">最多得</w:t>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分。</w:t>
            </w:r>
            <w:r/>
          </w:p>
          <w:p>
            <w:pPr>
              <w:jc w:val="left"/>
              <w:spacing w:before="120" w:after="120"/>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注：须提供以上驻场工程师相关证书扫描件、近半年内任意</w:t>
            </w:r>
            <w:r>
              <w:rPr>
                <w:rFonts w:hint="eastAsia" w:ascii="宋体" w:hAnsi="宋体" w:cs="宋体"/>
                <w:color w:val="auto"/>
                <w:sz w:val="22"/>
                <w:highlight w:val="none"/>
                <w:lang w:eastAsia="zh-CN" w:bidi="ar"/>
              </w:rPr>
              <w:t xml:space="preserve">一</w:t>
            </w:r>
            <w:r>
              <w:rPr>
                <w:rFonts w:hint="eastAsia" w:ascii="宋体" w:hAnsi="宋体" w:cs="宋体"/>
                <w:color w:val="auto"/>
                <w:sz w:val="22"/>
                <w:highlight w:val="none"/>
                <w:lang w:bidi="ar"/>
              </w:rPr>
              <w:t xml:space="preserve">个月供应商为其缴纳的社会保险证明材料。以上证明材料需加盖投标人公章，未按要求提供不得分。</w:t>
            </w:r>
            <w:r/>
          </w:p>
        </w:tc>
        <w:tc>
          <w:tcPr>
            <w:tcW w:w="812" w:type="dxa"/>
            <w:vAlign w:val="center"/>
            <w:textDirection w:val="lrTb"/>
            <w:noWrap w:val="false"/>
          </w:tcPr>
          <w:p>
            <w:pPr>
              <w:jc w:val="center"/>
              <w:spacing w:before="120" w:after="120"/>
              <w:rPr>
                <w:rFonts w:hint="default" w:ascii="仿宋" w:hAnsi="仿宋" w:eastAsia="仿宋"/>
                <w:b/>
                <w:color w:val="auto"/>
                <w:sz w:val="22"/>
                <w:highlight w:val="none"/>
                <w:lang w:val="en-US" w:eastAsia="zh-CN"/>
              </w:rPr>
            </w:pPr>
            <w:r>
              <w:rPr>
                <w:rFonts w:hint="eastAsia" w:ascii="仿宋" w:hAnsi="仿宋" w:eastAsia="仿宋"/>
                <w:b/>
                <w:color w:val="auto"/>
                <w:sz w:val="22"/>
                <w:highlight w:val="none"/>
                <w:lang w:val="en-US" w:eastAsia="zh-CN"/>
              </w:rPr>
              <w:t xml:space="preserve">4</w:t>
            </w:r>
            <w:r/>
          </w:p>
        </w:tc>
      </w:tr>
      <w:tr>
        <w:trPr/>
        <w:tc>
          <w:tcPr>
            <w:tcW w:w="959" w:type="dxa"/>
            <w:vAlign w:val="center"/>
            <w:textDirection w:val="lrTb"/>
            <w:noWrap w:val="false"/>
          </w:tcPr>
          <w:p>
            <w:pPr>
              <w:jc w:val="center"/>
              <w:spacing w:before="120" w:after="120"/>
              <w:rPr>
                <w:rFonts w:hint="default" w:ascii="仿宋" w:hAnsi="仿宋" w:eastAsia="仿宋"/>
                <w:b/>
                <w:color w:val="auto"/>
                <w:sz w:val="22"/>
                <w:highlight w:val="none"/>
                <w:lang w:val="en-US" w:eastAsia="zh-CN"/>
              </w:rPr>
            </w:pPr>
            <w:r>
              <w:rPr>
                <w:rFonts w:hint="eastAsia" w:ascii="仿宋" w:hAnsi="仿宋" w:eastAsia="仿宋"/>
                <w:b/>
                <w:color w:val="auto"/>
                <w:sz w:val="22"/>
                <w:highlight w:val="none"/>
                <w:lang w:val="en-US" w:eastAsia="zh-CN"/>
              </w:rPr>
              <w:t xml:space="preserve">2.3</w:t>
            </w:r>
            <w:r/>
          </w:p>
        </w:tc>
        <w:tc>
          <w:tcPr>
            <w:tcW w:w="1421" w:type="dxa"/>
            <w:vAlign w:val="center"/>
            <w:textDirection w:val="lrTb"/>
            <w:noWrap w:val="false"/>
          </w:tcPr>
          <w:p>
            <w:pPr>
              <w:jc w:val="center"/>
              <w:spacing w:before="120" w:after="120"/>
              <w:rPr>
                <w:rFonts w:hint="eastAsia" w:ascii="仿宋" w:hAnsi="仿宋" w:eastAsia="仿宋"/>
                <w:b/>
                <w:color w:val="auto"/>
                <w:sz w:val="22"/>
                <w:highlight w:val="none"/>
              </w:rPr>
            </w:pPr>
            <w:r>
              <w:rPr>
                <w:rFonts w:hint="eastAsia" w:ascii="仿宋" w:hAnsi="仿宋" w:eastAsia="仿宋"/>
                <w:b/>
                <w:color w:val="auto"/>
                <w:sz w:val="22"/>
                <w:highlight w:val="none"/>
              </w:rPr>
              <w:t xml:space="preserve">智能化和终端服务驻场工程师</w:t>
            </w:r>
            <w:r/>
          </w:p>
        </w:tc>
        <w:tc>
          <w:tcPr>
            <w:tcW w:w="6376" w:type="dxa"/>
            <w:vAlign w:val="center"/>
            <w:textDirection w:val="lrTb"/>
            <w:noWrap w:val="false"/>
          </w:tcPr>
          <w:p>
            <w:pPr>
              <w:jc w:val="left"/>
              <w:spacing w:before="120" w:after="120"/>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拟投入本项目</w:t>
            </w:r>
            <w:r>
              <w:rPr>
                <w:rFonts w:hint="eastAsia" w:ascii="宋体" w:hAnsi="宋体" w:cs="宋体"/>
                <w:color w:val="auto"/>
                <w:sz w:val="22"/>
                <w:highlight w:val="none"/>
                <w:lang w:val="en-US" w:eastAsia="zh-CN" w:bidi="ar"/>
              </w:rPr>
              <w:t xml:space="preserve">的智能化和终端服务</w:t>
            </w:r>
            <w:r>
              <w:rPr>
                <w:rFonts w:hint="eastAsia" w:ascii="宋体" w:hAnsi="宋体" w:cs="宋体"/>
                <w:color w:val="auto"/>
                <w:sz w:val="22"/>
                <w:highlight w:val="none"/>
                <w:lang w:bidi="ar"/>
              </w:rPr>
              <w:t xml:space="preserve">驻场工程师 (项目经理和团队服务人员除外)：</w:t>
            </w:r>
            <w:r>
              <w:rPr>
                <w:rFonts w:hint="eastAsia" w:ascii="宋体" w:hAnsi="宋体" w:cs="宋体"/>
                <w:color w:val="auto"/>
                <w:sz w:val="22"/>
                <w:highlight w:val="none"/>
                <w:lang w:eastAsia="zh-CN" w:bidi="ar"/>
              </w:rPr>
              <w:t xml:space="preserve">具有</w:t>
            </w:r>
            <w:r>
              <w:rPr>
                <w:rFonts w:hint="eastAsia" w:ascii="宋体" w:hAnsi="宋体" w:cs="宋体"/>
                <w:color w:val="auto"/>
                <w:sz w:val="22"/>
                <w:highlight w:val="none"/>
                <w:lang w:bidi="ar"/>
              </w:rPr>
              <w:t xml:space="preserve">通过计算机技术与软件专业技术资格(水平)考试获得的系统集成项目管理工程师、CISAW信息安全保障人员认证证书的，每有1个证书得</w:t>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分，</w:t>
            </w:r>
            <w:r>
              <w:rPr>
                <w:rFonts w:hint="eastAsia" w:ascii="宋体" w:hAnsi="宋体" w:cs="宋体"/>
                <w:color w:val="auto"/>
                <w:sz w:val="22"/>
                <w:highlight w:val="none"/>
                <w:lang w:val="en-US" w:eastAsia="zh-CN" w:bidi="ar"/>
              </w:rPr>
              <w:t xml:space="preserve">本项</w:t>
            </w:r>
            <w:r>
              <w:rPr>
                <w:rFonts w:hint="eastAsia" w:ascii="宋体" w:hAnsi="宋体" w:cs="宋体"/>
                <w:color w:val="auto"/>
                <w:sz w:val="22"/>
                <w:highlight w:val="none"/>
                <w:lang w:bidi="ar"/>
              </w:rPr>
              <w:t xml:space="preserve">最多得</w:t>
            </w:r>
            <w:r>
              <w:rPr>
                <w:rFonts w:hint="eastAsia" w:ascii="宋体" w:hAnsi="宋体" w:cs="宋体"/>
                <w:color w:val="auto"/>
                <w:sz w:val="22"/>
                <w:highlight w:val="none"/>
                <w:lang w:val="en-US" w:eastAsia="zh-CN" w:bidi="ar"/>
              </w:rPr>
              <w:t xml:space="preserve">4</w:t>
            </w:r>
            <w:r>
              <w:rPr>
                <w:rFonts w:hint="eastAsia" w:ascii="宋体" w:hAnsi="宋体" w:cs="宋体"/>
                <w:color w:val="auto"/>
                <w:sz w:val="22"/>
                <w:highlight w:val="none"/>
                <w:lang w:bidi="ar"/>
              </w:rPr>
              <w:t xml:space="preserve">分。</w:t>
            </w:r>
            <w:r/>
          </w:p>
          <w:p>
            <w:pPr>
              <w:jc w:val="left"/>
              <w:spacing w:before="120" w:after="120"/>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注：须提供以上驻场工程师相关证书扫描件、近半年内任意</w:t>
            </w:r>
            <w:r>
              <w:rPr>
                <w:rFonts w:hint="eastAsia" w:ascii="宋体" w:hAnsi="宋体" w:cs="宋体"/>
                <w:color w:val="auto"/>
                <w:sz w:val="22"/>
                <w:highlight w:val="none"/>
                <w:lang w:eastAsia="zh-CN" w:bidi="ar"/>
              </w:rPr>
              <w:t xml:space="preserve">一</w:t>
            </w:r>
            <w:r>
              <w:rPr>
                <w:rFonts w:hint="eastAsia" w:ascii="宋体" w:hAnsi="宋体" w:cs="宋体"/>
                <w:color w:val="auto"/>
                <w:sz w:val="22"/>
                <w:highlight w:val="none"/>
                <w:lang w:bidi="ar"/>
              </w:rPr>
              <w:t xml:space="preserve">个月供应商为其缴纳的社会保险证明材料。以上证明材料需加盖投标人公章，未按要求提供不得分。</w:t>
            </w:r>
            <w:r/>
          </w:p>
        </w:tc>
        <w:tc>
          <w:tcPr>
            <w:tcW w:w="812" w:type="dxa"/>
            <w:vAlign w:val="center"/>
            <w:textDirection w:val="lrTb"/>
            <w:noWrap w:val="false"/>
          </w:tcPr>
          <w:p>
            <w:pPr>
              <w:jc w:val="center"/>
              <w:spacing w:before="120" w:after="120"/>
              <w:rPr>
                <w:rFonts w:hint="default" w:ascii="仿宋" w:hAnsi="仿宋" w:eastAsia="仿宋"/>
                <w:b/>
                <w:color w:val="auto"/>
                <w:sz w:val="22"/>
                <w:highlight w:val="none"/>
                <w:lang w:val="en-US" w:eastAsia="zh-CN"/>
              </w:rPr>
            </w:pPr>
            <w:r>
              <w:rPr>
                <w:rFonts w:hint="eastAsia" w:ascii="仿宋" w:hAnsi="仿宋" w:eastAsia="仿宋"/>
                <w:b/>
                <w:color w:val="auto"/>
                <w:sz w:val="22"/>
                <w:highlight w:val="none"/>
                <w:lang w:val="en-US" w:eastAsia="zh-CN"/>
              </w:rPr>
              <w:t xml:space="preserve">4</w:t>
            </w:r>
            <w:r/>
          </w:p>
        </w:tc>
      </w:tr>
      <w:tr>
        <w:trPr/>
        <w:tc>
          <w:tcPr>
            <w:tcW w:w="959" w:type="dxa"/>
            <w:vAlign w:val="center"/>
            <w:textDirection w:val="lrTb"/>
            <w:noWrap w:val="false"/>
          </w:tcPr>
          <w:p>
            <w:pPr>
              <w:jc w:val="center"/>
              <w:spacing w:before="120" w:after="120"/>
              <w:rPr>
                <w:rFonts w:hint="eastAsia" w:ascii="仿宋" w:hAnsi="仿宋" w:eastAsia="仿宋"/>
                <w:b/>
                <w:color w:val="auto"/>
                <w:sz w:val="22"/>
                <w:highlight w:val="none"/>
                <w:lang w:eastAsia="zh-CN"/>
              </w:rPr>
            </w:pPr>
            <w:r>
              <w:rPr>
                <w:rFonts w:hint="eastAsia" w:ascii="仿宋" w:hAnsi="仿宋" w:eastAsia="仿宋"/>
                <w:b/>
                <w:color w:val="auto"/>
                <w:sz w:val="22"/>
                <w:highlight w:val="none"/>
              </w:rPr>
              <w:t xml:space="preserve">2.</w:t>
            </w:r>
            <w:r>
              <w:rPr>
                <w:rFonts w:hint="eastAsia" w:ascii="仿宋" w:hAnsi="仿宋" w:eastAsia="仿宋"/>
                <w:b/>
                <w:color w:val="auto"/>
                <w:sz w:val="22"/>
                <w:highlight w:val="none"/>
                <w:lang w:val="en-US" w:eastAsia="zh-CN"/>
              </w:rPr>
              <w:t xml:space="preserve">4</w:t>
            </w:r>
            <w:r/>
          </w:p>
        </w:tc>
        <w:tc>
          <w:tcPr>
            <w:tcW w:w="1421" w:type="dxa"/>
            <w:vAlign w:val="center"/>
            <w:textDirection w:val="lrTb"/>
            <w:noWrap w:val="false"/>
          </w:tcPr>
          <w:p>
            <w:pPr>
              <w:jc w:val="center"/>
              <w:spacing w:before="120" w:after="120"/>
              <w:rPr>
                <w:rFonts w:hint="eastAsia" w:ascii="仿宋" w:hAnsi="仿宋" w:eastAsia="仿宋"/>
                <w:b/>
                <w:color w:val="auto"/>
                <w:sz w:val="22"/>
                <w:highlight w:val="none"/>
              </w:rPr>
            </w:pPr>
            <w:r>
              <w:rPr>
                <w:rFonts w:hint="eastAsia" w:ascii="仿宋" w:hAnsi="仿宋" w:eastAsia="仿宋"/>
                <w:b/>
                <w:color w:val="auto"/>
                <w:sz w:val="22"/>
                <w:highlight w:val="none"/>
              </w:rPr>
              <w:t xml:space="preserve">服务团队</w:t>
            </w:r>
            <w:r/>
          </w:p>
        </w:tc>
        <w:tc>
          <w:tcPr>
            <w:tcW w:w="6376" w:type="dxa"/>
            <w:vAlign w:val="center"/>
            <w:textDirection w:val="lrTb"/>
            <w:noWrap w:val="false"/>
          </w:tcPr>
          <w:p>
            <w:pPr>
              <w:jc w:val="left"/>
              <w:spacing w:before="120" w:after="120"/>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拟投入本项目服务团队人员(项目经理和驻场工程师除外)：具有</w:t>
            </w:r>
            <w:r>
              <w:rPr>
                <w:rFonts w:hint="eastAsia" w:ascii="宋体" w:hAnsi="宋体" w:cs="宋体"/>
                <w:color w:val="auto"/>
                <w:sz w:val="22"/>
                <w:highlight w:val="none"/>
                <w:lang w:val="en-US" w:eastAsia="zh-CN" w:bidi="ar"/>
              </w:rPr>
              <w:t xml:space="preserve">网络规划设计</w:t>
            </w:r>
            <w:r>
              <w:rPr>
                <w:rFonts w:hint="eastAsia" w:ascii="宋体" w:hAnsi="宋体" w:cs="宋体"/>
                <w:color w:val="auto"/>
                <w:sz w:val="22"/>
                <w:highlight w:val="none"/>
                <w:lang w:bidi="ar"/>
              </w:rPr>
              <w:t xml:space="preserve">师、CISAW信息安全保障人员认证证书（应急服务）专业级</w:t>
            </w:r>
            <w:r>
              <w:rPr>
                <w:rFonts w:hint="eastAsia" w:ascii="宋体" w:hAnsi="宋体" w:cs="宋体"/>
                <w:color w:val="auto"/>
                <w:sz w:val="22"/>
                <w:highlight w:val="none"/>
                <w:lang w:val="en-US" w:eastAsia="zh-CN" w:bidi="ar"/>
              </w:rPr>
              <w:t xml:space="preserve">及以上</w:t>
            </w:r>
            <w:r>
              <w:rPr>
                <w:rFonts w:hint="eastAsia" w:ascii="宋体" w:hAnsi="宋体" w:cs="宋体"/>
                <w:color w:val="auto"/>
                <w:sz w:val="22"/>
                <w:highlight w:val="none"/>
                <w:lang w:bidi="ar"/>
              </w:rPr>
              <w:t xml:space="preserve">、CISAW信息安全保障人员认证证书（安全运维）专业级</w:t>
            </w:r>
            <w:r>
              <w:rPr>
                <w:rFonts w:hint="eastAsia" w:ascii="宋体" w:hAnsi="宋体" w:cs="宋体"/>
                <w:color w:val="auto"/>
                <w:sz w:val="22"/>
                <w:highlight w:val="none"/>
                <w:lang w:val="en-US" w:eastAsia="zh-CN" w:bidi="ar"/>
              </w:rPr>
              <w:t xml:space="preserve">及以上</w:t>
            </w:r>
            <w:r>
              <w:rPr>
                <w:rFonts w:hint="eastAsia" w:ascii="宋体" w:hAnsi="宋体" w:cs="宋体"/>
                <w:color w:val="auto"/>
                <w:sz w:val="22"/>
                <w:highlight w:val="none"/>
                <w:lang w:bidi="ar"/>
              </w:rPr>
              <w:t xml:space="preserve">的，每有1个得2，本项最高得</w:t>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bidi="ar"/>
              </w:rPr>
              <w:t xml:space="preserve">分。一类证书多人具有的，按一证计算，不重复计分;</w:t>
            </w:r>
            <w:r/>
          </w:p>
          <w:p>
            <w:pPr>
              <w:jc w:val="left"/>
              <w:spacing w:before="120" w:after="120"/>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注：须提供以上服务团队人员相关证书扫描件、近半年内任意</w:t>
            </w:r>
            <w:r>
              <w:rPr>
                <w:rFonts w:hint="eastAsia" w:ascii="宋体" w:hAnsi="宋体" w:cs="宋体"/>
                <w:color w:val="auto"/>
                <w:sz w:val="22"/>
                <w:highlight w:val="none"/>
                <w:lang w:eastAsia="zh-CN" w:bidi="ar"/>
              </w:rPr>
              <w:t xml:space="preserve">一</w:t>
            </w:r>
            <w:r>
              <w:rPr>
                <w:rFonts w:hint="eastAsia" w:ascii="宋体" w:hAnsi="宋体" w:cs="宋体"/>
                <w:color w:val="auto"/>
                <w:sz w:val="22"/>
                <w:highlight w:val="none"/>
                <w:lang w:bidi="ar"/>
              </w:rPr>
              <w:t xml:space="preserve">个月供应商为其缴纳的社会保险证明材料。以上证明材料需加盖投标人公章，未按要求提供不得分。</w:t>
            </w:r>
            <w:r/>
          </w:p>
        </w:tc>
        <w:tc>
          <w:tcPr>
            <w:tcW w:w="812" w:type="dxa"/>
            <w:vAlign w:val="center"/>
            <w:textDirection w:val="lrTb"/>
            <w:noWrap w:val="false"/>
          </w:tcPr>
          <w:p>
            <w:pPr>
              <w:jc w:val="center"/>
              <w:spacing w:before="120" w:after="120"/>
              <w:rPr>
                <w:rFonts w:hint="eastAsia" w:ascii="仿宋" w:hAnsi="仿宋" w:eastAsia="仿宋"/>
                <w:b/>
                <w:color w:val="auto"/>
                <w:sz w:val="22"/>
                <w:highlight w:val="none"/>
                <w:lang w:eastAsia="zh-CN"/>
              </w:rPr>
            </w:pPr>
            <w:r>
              <w:rPr>
                <w:rFonts w:hint="eastAsia" w:ascii="仿宋" w:hAnsi="仿宋" w:eastAsia="仿宋"/>
                <w:b/>
                <w:color w:val="auto"/>
                <w:sz w:val="22"/>
                <w:highlight w:val="none"/>
                <w:lang w:val="en-US" w:eastAsia="zh-CN"/>
              </w:rPr>
              <w:t xml:space="preserve">6</w:t>
            </w:r>
            <w:r/>
          </w:p>
        </w:tc>
      </w:tr>
    </w:tbl>
    <w:p>
      <w:pPr>
        <w:rPr>
          <w:rFonts w:ascii="宋体" w:hAnsi="宋体"/>
          <w:b/>
          <w:color w:val="auto"/>
          <w:sz w:val="24"/>
          <w:highlight w:val="none"/>
        </w:rPr>
      </w:pPr>
      <w:r>
        <w:rPr>
          <w:rFonts w:ascii="宋体" w:hAnsi="宋体"/>
          <w:b/>
          <w:color w:val="auto"/>
          <w:sz w:val="24"/>
          <w:highlight w:val="none"/>
        </w:rPr>
      </w:r>
      <w:r/>
    </w:p>
    <w:p>
      <w:pPr>
        <w:jc w:val="left"/>
        <w:widowControl/>
        <w:rPr>
          <w:rFonts w:ascii="宋体" w:hAnsi="宋体"/>
          <w:b/>
          <w:color w:val="auto"/>
          <w:sz w:val="24"/>
          <w:highlight w:val="none"/>
        </w:rPr>
      </w:pPr>
      <w:r>
        <w:rPr>
          <w:rFonts w:hint="eastAsia" w:ascii="宋体" w:hAnsi="宋体"/>
          <w:b/>
          <w:color w:val="auto"/>
          <w:sz w:val="24"/>
          <w:highlight w:val="none"/>
        </w:rPr>
        <w:t xml:space="preserve">（三）价格评估</w:t>
      </w:r>
      <w:r/>
    </w:p>
    <w:p>
      <w:pPr>
        <w:rPr>
          <w:color w:val="auto"/>
          <w:highlight w:val="none"/>
        </w:rPr>
      </w:pPr>
      <w:r/>
      <w:bookmarkStart w:id="95" w:name="EB00ed059341e447b48aa4c095e09e7fc2"/>
      <w:r/>
      <w:r/>
    </w:p>
    <w:tbl>
      <w:tblPr>
        <w:tblStyle w:val="663"/>
        <w:tblW w:w="4950" w:type="pct"/>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819"/>
        <w:gridCol w:w="1131"/>
        <w:gridCol w:w="6906"/>
        <w:gridCol w:w="630"/>
      </w:tblGrid>
      <w:tr>
        <w:trPr/>
        <w:tc>
          <w:tcPr>
            <w:tcMar>
              <w:top w:w="100" w:type="dxa"/>
              <w:bottom w:w="100" w:type="dxa"/>
            </w:tcMar>
            <w:tcW w:w="819" w:type="dxa"/>
            <w:vAlign w:val="center"/>
            <w:textDirection w:val="lrTb"/>
            <w:noWrap w:val="false"/>
          </w:tcPr>
          <w:p>
            <w:pPr>
              <w:pStyle w:val="901"/>
              <w:jc w:val="center"/>
              <w:rPr>
                <w:rFonts w:ascii="宋体" w:hAnsi="宋体" w:eastAsia="宋体" w:cs="宋体"/>
                <w:color w:val="auto"/>
                <w:sz w:val="21"/>
                <w:highlight w:val="none"/>
              </w:rPr>
            </w:pPr>
            <w:r>
              <w:rPr>
                <w:rFonts w:ascii="宋体" w:hAnsi="宋体" w:eastAsia="宋体" w:cs="宋体"/>
                <w:color w:val="auto"/>
                <w:sz w:val="21"/>
                <w:highlight w:val="none"/>
              </w:rPr>
              <w:t xml:space="preserve">序号</w:t>
            </w:r>
            <w:r/>
          </w:p>
        </w:tc>
        <w:tc>
          <w:tcPr>
            <w:tcMar>
              <w:top w:w="100" w:type="dxa"/>
              <w:bottom w:w="100" w:type="dxa"/>
            </w:tcMar>
            <w:tcW w:w="1131" w:type="dxa"/>
            <w:vAlign w:val="center"/>
            <w:textDirection w:val="lrTb"/>
            <w:noWrap w:val="false"/>
          </w:tcPr>
          <w:p>
            <w:pPr>
              <w:pStyle w:val="901"/>
              <w:jc w:val="center"/>
              <w:rPr>
                <w:rFonts w:ascii="宋体" w:hAnsi="宋体" w:eastAsia="宋体" w:cs="宋体"/>
                <w:color w:val="auto"/>
                <w:sz w:val="21"/>
                <w:highlight w:val="none"/>
              </w:rPr>
            </w:pPr>
            <w:r>
              <w:rPr>
                <w:rFonts w:ascii="宋体" w:hAnsi="宋体" w:eastAsia="宋体" w:cs="宋体"/>
                <w:color w:val="auto"/>
                <w:sz w:val="21"/>
                <w:highlight w:val="none"/>
              </w:rPr>
              <w:t xml:space="preserve">评审因素</w:t>
            </w:r>
            <w:r/>
          </w:p>
        </w:tc>
        <w:tc>
          <w:tcPr>
            <w:tcMar>
              <w:top w:w="100" w:type="dxa"/>
              <w:bottom w:w="100" w:type="dxa"/>
            </w:tcMar>
            <w:tcW w:w="6908" w:type="dxa"/>
            <w:vAlign w:val="center"/>
            <w:textDirection w:val="lrTb"/>
            <w:noWrap w:val="false"/>
          </w:tcPr>
          <w:p>
            <w:pPr>
              <w:pStyle w:val="901"/>
              <w:jc w:val="center"/>
              <w:rPr>
                <w:rFonts w:ascii="宋体" w:hAnsi="宋体" w:eastAsia="宋体" w:cs="宋体"/>
                <w:color w:val="auto"/>
                <w:sz w:val="21"/>
                <w:highlight w:val="none"/>
              </w:rPr>
            </w:pPr>
            <w:r>
              <w:rPr>
                <w:rFonts w:ascii="宋体" w:hAnsi="宋体" w:eastAsia="宋体" w:cs="宋体"/>
                <w:color w:val="auto"/>
                <w:sz w:val="21"/>
                <w:highlight w:val="none"/>
              </w:rPr>
              <w:t xml:space="preserve">评审细则</w:t>
            </w:r>
            <w:r/>
          </w:p>
        </w:tc>
        <w:tc>
          <w:tcPr>
            <w:tcMar>
              <w:top w:w="100" w:type="dxa"/>
              <w:bottom w:w="100" w:type="dxa"/>
            </w:tcMar>
            <w:tcW w:w="630" w:type="dxa"/>
            <w:vAlign w:val="center"/>
            <w:textDirection w:val="lrTb"/>
            <w:noWrap w:val="false"/>
          </w:tcPr>
          <w:p>
            <w:pPr>
              <w:pStyle w:val="901"/>
              <w:jc w:val="center"/>
              <w:rPr>
                <w:rFonts w:ascii="宋体" w:hAnsi="宋体" w:eastAsia="宋体" w:cs="宋体"/>
                <w:color w:val="auto"/>
                <w:sz w:val="21"/>
                <w:highlight w:val="none"/>
              </w:rPr>
            </w:pPr>
            <w:r>
              <w:rPr>
                <w:rFonts w:ascii="宋体" w:hAnsi="宋体" w:eastAsia="宋体" w:cs="宋体"/>
                <w:color w:val="auto"/>
                <w:sz w:val="21"/>
                <w:highlight w:val="none"/>
              </w:rPr>
              <w:t xml:space="preserve">分值</w:t>
            </w:r>
            <w:r/>
          </w:p>
        </w:tc>
      </w:tr>
      <w:tr>
        <w:trPr/>
        <w:tc>
          <w:tcPr>
            <w:gridSpan w:val="3"/>
            <w:tcMar>
              <w:top w:w="100" w:type="dxa"/>
              <w:bottom w:w="100" w:type="dxa"/>
            </w:tcMar>
            <w:tcW w:w="8858" w:type="dxa"/>
            <w:vAlign w:val="center"/>
            <w:textDirection w:val="lrTb"/>
            <w:noWrap w:val="false"/>
          </w:tcPr>
          <w:p>
            <w:pPr>
              <w:pStyle w:val="901"/>
              <w:jc w:val="center"/>
              <w:rPr>
                <w:rFonts w:ascii="宋体" w:hAnsi="宋体" w:eastAsia="宋体" w:cs="宋体"/>
                <w:color w:val="auto"/>
                <w:sz w:val="21"/>
                <w:highlight w:val="none"/>
              </w:rPr>
            </w:pPr>
            <w:r>
              <w:rPr>
                <w:rFonts w:ascii="宋体" w:hAnsi="宋体" w:eastAsia="宋体" w:cs="宋体"/>
                <w:color w:val="auto"/>
                <w:sz w:val="21"/>
                <w:highlight w:val="none"/>
              </w:rPr>
              <w:t xml:space="preserve">报价评价</w:t>
            </w:r>
            <w:r/>
          </w:p>
        </w:tc>
        <w:tc>
          <w:tcPr>
            <w:tcMar>
              <w:top w:w="100" w:type="dxa"/>
              <w:bottom w:w="100" w:type="dxa"/>
            </w:tcMar>
            <w:tcW w:w="630" w:type="dxa"/>
            <w:vAlign w:val="center"/>
            <w:textDirection w:val="lrTb"/>
            <w:noWrap w:val="false"/>
          </w:tcPr>
          <w:p>
            <w:pPr>
              <w:pStyle w:val="901"/>
              <w:jc w:val="center"/>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25</w:t>
            </w:r>
            <w:r/>
          </w:p>
        </w:tc>
      </w:tr>
      <w:tr>
        <w:trPr/>
        <w:tc>
          <w:tcPr>
            <w:tcMar>
              <w:top w:w="100" w:type="dxa"/>
              <w:bottom w:w="100" w:type="dxa"/>
            </w:tcMar>
            <w:tcW w:w="819" w:type="dxa"/>
            <w:vAlign w:val="center"/>
            <w:textDirection w:val="lrTb"/>
            <w:noWrap w:val="false"/>
          </w:tcPr>
          <w:p>
            <w:pPr>
              <w:jc w:val="center"/>
              <w:rPr>
                <w:rFonts w:ascii="宋体" w:hAnsi="宋体" w:eastAsia="宋体" w:cs="宋体"/>
                <w:color w:val="auto"/>
                <w:sz w:val="21"/>
                <w:highlight w:val="none"/>
              </w:rPr>
            </w:pPr>
            <w:r>
              <w:rPr>
                <w:rFonts w:hint="eastAsia" w:ascii="宋体" w:hAnsi="宋体" w:eastAsia="宋体" w:cs="楷体"/>
                <w:color w:val="auto"/>
                <w:sz w:val="21"/>
                <w:szCs w:val="24"/>
                <w:highlight w:val="none"/>
                <w:lang w:val="en-US" w:eastAsia="zh-CN" w:bidi="ar-SA"/>
              </w:rPr>
              <w:t xml:space="preserve">1.1</w:t>
            </w:r>
            <w:r/>
          </w:p>
        </w:tc>
        <w:tc>
          <w:tcPr>
            <w:tcMar>
              <w:top w:w="100" w:type="dxa"/>
              <w:bottom w:w="100" w:type="dxa"/>
            </w:tcMar>
            <w:tcW w:w="1131" w:type="dxa"/>
            <w:vAlign w:val="center"/>
            <w:textDirection w:val="lrTb"/>
            <w:noWrap w:val="false"/>
          </w:tcPr>
          <w:p>
            <w:pPr>
              <w:jc w:val="center"/>
              <w:rPr>
                <w:rFonts w:hint="eastAsia" w:ascii="华文宋体" w:hAnsi="华文宋体" w:eastAsia="华文宋体" w:cs="Times New Roman"/>
                <w:color w:val="auto"/>
                <w:sz w:val="21"/>
                <w:szCs w:val="21"/>
                <w:highlight w:val="none"/>
                <w:lang w:eastAsia="zh-CN"/>
              </w:rPr>
            </w:pPr>
            <w:r>
              <w:rPr>
                <w:rFonts w:hint="eastAsia" w:ascii="华文宋体" w:hAnsi="华文宋体" w:eastAsia="华文宋体" w:cs="Times New Roman"/>
                <w:color w:val="auto"/>
                <w:sz w:val="21"/>
                <w:szCs w:val="21"/>
                <w:highlight w:val="none"/>
                <w:lang w:eastAsia="zh-CN"/>
              </w:rPr>
              <w:t xml:space="preserve">价格评审</w:t>
            </w:r>
            <w:r/>
          </w:p>
        </w:tc>
        <w:tc>
          <w:tcPr>
            <w:tcMar>
              <w:top w:w="100" w:type="dxa"/>
              <w:bottom w:w="100" w:type="dxa"/>
            </w:tcMar>
            <w:tcW w:w="6908" w:type="dxa"/>
            <w:vAlign w:val="center"/>
            <w:textDirection w:val="lrTb"/>
            <w:noWrap w:val="false"/>
          </w:tcPr>
          <w:p>
            <w:pPr>
              <w:jc w:val="left"/>
              <w:rPr>
                <w:rFonts w:ascii="华文宋体" w:hAnsi="华文宋体" w:eastAsia="华文宋体"/>
                <w:color w:val="auto"/>
                <w:szCs w:val="21"/>
                <w:highlight w:val="none"/>
              </w:rPr>
            </w:pPr>
            <w:r>
              <w:rPr>
                <w:rFonts w:hint="eastAsia" w:ascii="华文宋体" w:hAnsi="华文宋体" w:eastAsia="华文宋体" w:cs="Times New Roman"/>
                <w:color w:val="auto"/>
                <w:sz w:val="21"/>
                <w:szCs w:val="21"/>
                <w:highlight w:val="none"/>
              </w:rPr>
              <w:t xml:space="preserve">综合评分法中的价格分采用低价优先法计算，即满足磋商文件要求且最后报价最低的供应商的价格为磋商基准价，其价格分为满分</w:t>
            </w:r>
            <w:r>
              <w:rPr>
                <w:rFonts w:hint="eastAsia" w:ascii="华文宋体" w:hAnsi="华文宋体" w:eastAsia="华文宋体" w:cs="Times New Roman"/>
                <w:color w:val="auto"/>
                <w:sz w:val="21"/>
                <w:szCs w:val="21"/>
                <w:highlight w:val="none"/>
                <w:lang w:val="en-US" w:eastAsia="zh-CN"/>
              </w:rPr>
              <w:t xml:space="preserve">25</w:t>
            </w:r>
            <w:r>
              <w:rPr>
                <w:rFonts w:hint="eastAsia" w:ascii="华文宋体" w:hAnsi="华文宋体" w:eastAsia="华文宋体" w:cs="Times New Roman"/>
                <w:color w:val="auto"/>
                <w:sz w:val="21"/>
                <w:szCs w:val="21"/>
                <w:highlight w:val="none"/>
              </w:rPr>
              <w:t xml:space="preserve">分。其他供应商的价格分统一按照下列公式计算：磋商报价得分=(磋商基准价／最后磋商报价)×</w:t>
            </w:r>
            <w:r>
              <w:rPr>
                <w:rFonts w:hint="eastAsia" w:ascii="华文宋体" w:hAnsi="华文宋体" w:eastAsia="华文宋体" w:cs="Times New Roman"/>
                <w:color w:val="auto"/>
                <w:sz w:val="21"/>
                <w:szCs w:val="21"/>
                <w:highlight w:val="none"/>
                <w:lang w:val="en-US" w:eastAsia="zh-CN"/>
              </w:rPr>
              <w:t xml:space="preserve">25</w:t>
            </w:r>
            <w:r>
              <w:rPr>
                <w:rFonts w:hint="eastAsia" w:ascii="华文宋体" w:hAnsi="华文宋体" w:eastAsia="华文宋体" w:cs="Times New Roman"/>
                <w:color w:val="auto"/>
                <w:sz w:val="21"/>
                <w:szCs w:val="21"/>
                <w:highlight w:val="none"/>
              </w:rPr>
              <w:t xml:space="preserve">。</w:t>
            </w:r>
            <w:r/>
          </w:p>
        </w:tc>
        <w:tc>
          <w:tcPr>
            <w:tcMar>
              <w:top w:w="100" w:type="dxa"/>
              <w:bottom w:w="100" w:type="dxa"/>
            </w:tcMar>
            <w:tcW w:w="630" w:type="dxa"/>
            <w:vAlign w:val="center"/>
            <w:textDirection w:val="lrTb"/>
            <w:noWrap w:val="false"/>
          </w:tcPr>
          <w:p>
            <w:pPr>
              <w:jc w:val="center"/>
              <w:rPr>
                <w:rFonts w:hint="default" w:ascii="宋体" w:hAnsi="宋体" w:eastAsia="宋体" w:cs="宋体"/>
                <w:color w:val="auto"/>
                <w:sz w:val="21"/>
                <w:highlight w:val="none"/>
                <w:lang w:val="en-US" w:eastAsia="zh-CN"/>
              </w:rPr>
            </w:pPr>
            <w:r>
              <w:rPr>
                <w:rFonts w:hint="eastAsia" w:ascii="宋体" w:hAnsi="宋体" w:cs="宋体"/>
                <w:color w:val="auto"/>
                <w:sz w:val="21"/>
                <w:highlight w:val="none"/>
                <w:lang w:val="en-US" w:eastAsia="zh-CN"/>
              </w:rPr>
              <w:t xml:space="preserve">25</w:t>
            </w:r>
            <w:bookmarkEnd w:id="95"/>
            <w:r/>
          </w:p>
        </w:tc>
      </w:tr>
    </w:tbl>
    <w:p>
      <w:pPr>
        <w:rPr>
          <w:color w:val="auto"/>
          <w:highlight w:val="none"/>
        </w:rPr>
      </w:pPr>
      <w:r>
        <w:rPr>
          <w:color w:val="auto"/>
          <w:highlight w:val="none"/>
        </w:rPr>
      </w:r>
      <w:r/>
    </w:p>
    <w:p>
      <w:pPr>
        <w:pStyle w:val="843"/>
        <w:ind w:firstLine="321"/>
        <w:jc w:val="left"/>
        <w:spacing w:before="0" w:after="0" w:line="240" w:lineRule="auto"/>
        <w:rPr>
          <w:rFonts w:ascii="宋体" w:hAnsi="宋体" w:eastAsia="宋体"/>
          <w:color w:val="auto"/>
          <w:sz w:val="32"/>
          <w:highlight w:val="none"/>
        </w:rPr>
      </w:pPr>
      <w:r/>
      <w:bookmarkStart w:id="96" w:name="_Toc63"/>
      <w:r>
        <w:rPr>
          <w:rFonts w:hint="eastAsia" w:ascii="宋体" w:hAnsi="宋体" w:eastAsia="宋体"/>
          <w:color w:val="auto"/>
          <w:sz w:val="32"/>
          <w:highlight w:val="none"/>
        </w:rPr>
        <w:t xml:space="preserve">7．推荐成交供应商</w:t>
      </w:r>
      <w:bookmarkEnd w:id="96"/>
      <w:r/>
      <w:r/>
    </w:p>
    <w:p>
      <w:pPr>
        <w:ind w:firstLine="480"/>
        <w:spacing w:line="360" w:lineRule="auto"/>
        <w:rPr>
          <w:rFonts w:ascii="宋体" w:hAnsi="宋体"/>
          <w:color w:val="auto"/>
          <w:sz w:val="24"/>
          <w:highlight w:val="none"/>
        </w:rPr>
      </w:pPr>
      <w:r/>
      <w:bookmarkStart w:id="97" w:name="EBf60c0b78baae4cd4941a83c86b937dfd"/>
      <w:r>
        <w:rPr>
          <w:rFonts w:hint="eastAsia" w:ascii="宋体" w:hAnsi="宋体"/>
          <w:color w:val="auto"/>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97"/>
      <w:r/>
      <w:r/>
    </w:p>
    <w:p>
      <w:pPr>
        <w:rPr>
          <w:color w:val="auto"/>
          <w:highlight w:val="none"/>
        </w:rPr>
      </w:pPr>
      <w:r/>
      <w:bookmarkStart w:id="98" w:name="EB33162866c0454b07a982cbc9df098632"/>
      <w:r>
        <w:rPr>
          <w:rFonts w:hint="eastAsia"/>
          <w:color w:val="auto"/>
          <w:sz w:val="20"/>
          <w:highlight w:val="none"/>
        </w:rPr>
        <w:t xml:space="preserve"> </w:t>
      </w:r>
      <w:bookmarkEnd w:id="98"/>
      <w:r/>
      <w:r/>
    </w:p>
    <w:p>
      <w:pPr>
        <w:rPr>
          <w:color w:val="auto"/>
          <w:highlight w:val="none"/>
        </w:rPr>
      </w:pPr>
      <w:r/>
      <w:bookmarkStart w:id="99" w:name="EB491a073be94b40b3b791bdad326531a2"/>
      <w:r/>
      <w:r/>
    </w:p>
    <w:p>
      <w:pPr>
        <w:pStyle w:val="907"/>
        <w:rPr>
          <w:rFonts w:ascii="宋体" w:hAnsi="宋体" w:eastAsia="宋体" w:cs="宋体"/>
          <w:color w:val="auto"/>
          <w:highlight w:val="none"/>
        </w:rPr>
      </w:pPr>
      <w:r>
        <w:rPr>
          <w:rFonts w:ascii="宋体" w:hAnsi="宋体" w:eastAsia="宋体" w:cs="宋体"/>
          <w:color w:val="auto"/>
          <w:highlight w:val="none"/>
        </w:rPr>
        <w:t xml:space="preserve">﻿ </w:t>
      </w:r>
      <w:r/>
    </w:p>
    <w:p>
      <w:pPr>
        <w:pStyle w:val="907"/>
        <w:rPr>
          <w:rFonts w:ascii="宋体" w:hAnsi="宋体" w:eastAsia="宋体" w:cs="宋体"/>
          <w:color w:val="auto"/>
          <w:highlight w:val="none"/>
        </w:rPr>
      </w:pPr>
      <w:r>
        <w:rPr>
          <w:rFonts w:ascii="宋体" w:hAnsi="宋体" w:eastAsia="宋体" w:cs="宋体"/>
          <w:color w:val="auto"/>
          <w:highlight w:val="none"/>
        </w:rPr>
      </w:r>
      <w:r/>
    </w:p>
    <w:p>
      <w:pPr>
        <w:pStyle w:val="907"/>
        <w:rPr>
          <w:rFonts w:ascii="宋体" w:hAnsi="宋体" w:eastAsia="宋体" w:cs="宋体"/>
          <w:color w:val="auto"/>
          <w:highlight w:val="none"/>
        </w:rPr>
      </w:pPr>
      <w:r>
        <w:rPr>
          <w:rFonts w:ascii="宋体" w:hAnsi="宋体" w:eastAsia="宋体" w:cs="宋体"/>
          <w:color w:val="auto"/>
          <w:highlight w:val="none"/>
        </w:rPr>
      </w:r>
      <w:r/>
    </w:p>
    <w:p>
      <w:pPr>
        <w:pStyle w:val="907"/>
        <w:rPr>
          <w:rFonts w:ascii="宋体" w:hAnsi="宋体" w:eastAsia="宋体" w:cs="宋体"/>
          <w:color w:val="auto"/>
          <w:highlight w:val="none"/>
        </w:rPr>
      </w:pPr>
      <w:r>
        <w:rPr>
          <w:rFonts w:ascii="宋体" w:hAnsi="宋体" w:eastAsia="宋体" w:cs="宋体"/>
          <w:color w:val="auto"/>
          <w:highlight w:val="none"/>
        </w:rPr>
      </w:r>
      <w:r/>
    </w:p>
    <w:p>
      <w:pPr>
        <w:pStyle w:val="907"/>
        <w:rPr>
          <w:rFonts w:ascii="宋体" w:hAnsi="宋体" w:eastAsia="宋体" w:cs="宋体"/>
          <w:color w:val="auto"/>
          <w:highlight w:val="none"/>
        </w:rPr>
      </w:pPr>
      <w:r>
        <w:rPr>
          <w:rFonts w:ascii="宋体" w:hAnsi="宋体" w:eastAsia="宋体" w:cs="宋体"/>
          <w:color w:val="auto"/>
          <w:highlight w:val="none"/>
        </w:rPr>
      </w:r>
      <w:r/>
    </w:p>
    <w:p>
      <w:pPr>
        <w:rPr>
          <w:rFonts w:ascii="宋体" w:hAnsi="宋体"/>
          <w:color w:val="auto"/>
          <w:sz w:val="32"/>
          <w:highlight w:val="none"/>
        </w:rPr>
      </w:pPr>
      <w:r/>
      <w:bookmarkStart w:id="100" w:name="_Toc64"/>
      <w:r>
        <w:rPr>
          <w:rFonts w:hint="eastAsia" w:ascii="宋体" w:hAnsi="宋体"/>
          <w:color w:val="auto"/>
          <w:sz w:val="32"/>
          <w:highlight w:val="none"/>
        </w:rPr>
        <w:br w:type="page" w:clear="all"/>
      </w:r>
      <w:r/>
    </w:p>
    <w:p>
      <w:pPr>
        <w:pStyle w:val="842"/>
        <w:jc w:val="center"/>
        <w:rPr>
          <w:rFonts w:ascii="宋体" w:hAnsi="宋体"/>
          <w:color w:val="auto"/>
          <w:sz w:val="32"/>
          <w:highlight w:val="none"/>
        </w:rPr>
      </w:pPr>
      <w:r>
        <w:rPr>
          <w:rFonts w:hint="eastAsia" w:ascii="宋体" w:hAnsi="宋体"/>
          <w:color w:val="auto"/>
          <w:sz w:val="32"/>
          <w:highlight w:val="none"/>
        </w:rPr>
        <w:t xml:space="preserve">第六部分  磋商响应文件（格式）</w:t>
      </w:r>
      <w:bookmarkEnd w:id="100"/>
      <w:r/>
      <w:r/>
    </w:p>
    <w:p>
      <w:pPr>
        <w:pStyle w:val="907"/>
        <w:jc w:val="center"/>
        <w:spacing w:before="540" w:after="540"/>
        <w:rPr>
          <w:rFonts w:ascii="宋体" w:hAnsi="宋体" w:eastAsia="宋体" w:cs="宋体"/>
          <w:b/>
          <w:bCs/>
          <w:color w:val="auto"/>
          <w:sz w:val="72"/>
          <w:szCs w:val="72"/>
          <w:highlight w:val="none"/>
        </w:rPr>
      </w:pPr>
      <w:r>
        <w:rPr>
          <w:rFonts w:ascii="宋体" w:hAnsi="宋体" w:eastAsia="宋体" w:cs="宋体"/>
          <w:b/>
          <w:bCs/>
          <w:color w:val="auto"/>
          <w:sz w:val="72"/>
          <w:szCs w:val="72"/>
          <w:highlight w:val="none"/>
        </w:rPr>
      </w:r>
      <w:r/>
    </w:p>
    <w:p>
      <w:pPr>
        <w:pStyle w:val="907"/>
        <w:jc w:val="center"/>
        <w:spacing w:before="540" w:after="540"/>
        <w:rPr>
          <w:rFonts w:ascii="宋体" w:hAnsi="宋体" w:eastAsia="宋体" w:cs="宋体"/>
          <w:b/>
          <w:bCs/>
          <w:color w:val="auto"/>
          <w:sz w:val="72"/>
          <w:szCs w:val="72"/>
          <w:highlight w:val="none"/>
        </w:rPr>
      </w:pPr>
      <w:r>
        <w:rPr>
          <w:rFonts w:ascii="宋体" w:hAnsi="宋体" w:eastAsia="宋体" w:cs="宋体"/>
          <w:b/>
          <w:bCs/>
          <w:color w:val="auto"/>
          <w:sz w:val="72"/>
          <w:szCs w:val="72"/>
          <w:highlight w:val="none"/>
        </w:rPr>
        <w:t xml:space="preserve">磋 商 响 应 文 件</w:t>
      </w:r>
      <w:r/>
    </w:p>
    <w:p>
      <w:pPr>
        <w:pStyle w:val="907"/>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907"/>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项目编号：</w:t>
      </w:r>
      <w:r>
        <w:rPr>
          <w:rFonts w:hint="eastAsia" w:ascii="宋体" w:hAnsi="宋体" w:eastAsia="宋体" w:cs="宋体"/>
          <w:b/>
          <w:bCs/>
          <w:color w:val="auto"/>
          <w:sz w:val="32"/>
          <w:szCs w:val="32"/>
          <w:highlight w:val="none"/>
          <w:lang w:eastAsia="zh-CN"/>
        </w:rPr>
        <w:t xml:space="preserve">JSZC-321181-JZCG-C2026-0009</w:t>
      </w:r>
      <w:r>
        <w:rPr>
          <w:rFonts w:ascii="宋体" w:hAnsi="宋体" w:eastAsia="宋体" w:cs="宋体"/>
          <w:b/>
          <w:bCs/>
          <w:color w:val="auto"/>
          <w:sz w:val="32"/>
          <w:szCs w:val="32"/>
          <w:highlight w:val="none"/>
        </w:rPr>
        <w:t xml:space="preserve">     </w:t>
      </w:r>
      <w:r/>
    </w:p>
    <w:p>
      <w:pPr>
        <w:pStyle w:val="907"/>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907"/>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907"/>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项目名称：</w:t>
      </w:r>
      <w:r>
        <w:rPr>
          <w:rFonts w:hint="eastAsia" w:ascii="宋体" w:hAnsi="宋体" w:eastAsia="宋体" w:cs="宋体"/>
          <w:b/>
          <w:bCs/>
          <w:color w:val="auto"/>
          <w:sz w:val="32"/>
          <w:szCs w:val="32"/>
          <w:highlight w:val="none"/>
          <w:lang w:eastAsia="zh-CN"/>
        </w:rPr>
        <w:t xml:space="preserve">“金保工程”网络与网络安全维保服务项目</w:t>
      </w:r>
      <w:r>
        <w:rPr>
          <w:rFonts w:ascii="宋体" w:hAnsi="宋体" w:eastAsia="宋体" w:cs="宋体"/>
          <w:b/>
          <w:bCs/>
          <w:color w:val="auto"/>
          <w:sz w:val="32"/>
          <w:szCs w:val="32"/>
          <w:highlight w:val="none"/>
        </w:rPr>
        <w:t xml:space="preserve">     </w:t>
      </w:r>
      <w:r/>
    </w:p>
    <w:p>
      <w:pPr>
        <w:pStyle w:val="907"/>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907"/>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907"/>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供应商（加盖公章）：     </w:t>
      </w:r>
      <w:r/>
    </w:p>
    <w:p>
      <w:pPr>
        <w:pStyle w:val="907"/>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 </w:t>
      </w:r>
      <w:r/>
    </w:p>
    <w:p>
      <w:pPr>
        <w:pStyle w:val="907"/>
        <w:jc w:val="center"/>
        <w:spacing w:before="320" w:after="320"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日期：   </w:t>
      </w:r>
      <w:r/>
    </w:p>
    <w:p>
      <w:pPr>
        <w:pStyle w:val="908"/>
        <w:jc w:val="center"/>
        <w:rPr>
          <w:color w:val="auto"/>
          <w:highlight w:val="none"/>
        </w:rPr>
        <w:outlineLvl w:val="1"/>
      </w:pPr>
      <w:r>
        <w:rPr>
          <w:color w:val="auto"/>
          <w:highlight w:val="none"/>
        </w:rPr>
        <w:br w:type="page" w:clear="all"/>
      </w:r>
      <w:r/>
    </w:p>
    <w:p>
      <w:pPr>
        <w:pStyle w:val="908"/>
        <w:jc w:val="center"/>
        <w:rPr>
          <w:color w:val="auto"/>
          <w:highlight w:val="none"/>
        </w:rPr>
        <w:outlineLvl w:val="1"/>
      </w:pPr>
      <w:r>
        <w:rPr>
          <w:color w:val="auto"/>
          <w:highlight w:val="none"/>
        </w:rPr>
      </w:r>
      <w:r/>
    </w:p>
    <w:p>
      <w:pPr>
        <w:ind w:firstLine="643"/>
        <w:jc w:val="center"/>
        <w:rPr>
          <w:rFonts w:ascii="宋体" w:hAnsi="宋体"/>
          <w:b/>
          <w:color w:val="auto"/>
          <w:sz w:val="32"/>
          <w:szCs w:val="32"/>
          <w:highlight w:val="none"/>
        </w:rPr>
      </w:pPr>
      <w:r>
        <w:rPr>
          <w:rFonts w:hint="eastAsia"/>
          <w:b/>
          <w:color w:val="auto"/>
          <w:sz w:val="32"/>
          <w:szCs w:val="32"/>
          <w:highlight w:val="none"/>
        </w:rPr>
        <w:t xml:space="preserve">一、</w:t>
      </w:r>
      <w:r>
        <w:rPr>
          <w:rFonts w:hint="eastAsia" w:ascii="宋体" w:hAnsi="宋体"/>
          <w:b/>
          <w:color w:val="auto"/>
          <w:sz w:val="32"/>
          <w:szCs w:val="32"/>
          <w:highlight w:val="none"/>
        </w:rPr>
        <w:t xml:space="preserve">基本目录</w:t>
      </w:r>
      <w:r/>
    </w:p>
    <w:p>
      <w:pPr>
        <w:ind w:firstLine="482"/>
        <w:widowControl/>
        <w:rPr>
          <w:rFonts w:ascii="宋体" w:hAnsi="宋体" w:cs="宋体"/>
          <w:b/>
          <w:color w:val="auto"/>
          <w:sz w:val="24"/>
          <w:szCs w:val="24"/>
          <w:highlight w:val="none"/>
        </w:rPr>
        <w:outlineLvl w:val="1"/>
      </w:pPr>
      <w:r/>
      <w:bookmarkStart w:id="101" w:name="_Toc65"/>
      <w:r>
        <w:rPr>
          <w:rFonts w:hint="eastAsia" w:ascii="宋体" w:hAnsi="宋体" w:cs="宋体"/>
          <w:b/>
          <w:color w:val="auto"/>
          <w:sz w:val="24"/>
          <w:szCs w:val="24"/>
          <w:highlight w:val="none"/>
        </w:rPr>
        <w:t xml:space="preserve">目录</w:t>
      </w:r>
      <w:bookmarkEnd w:id="101"/>
      <w:r/>
      <w:r/>
    </w:p>
    <w:p>
      <w:pPr>
        <w:ind w:firstLine="482"/>
        <w:widowControl/>
        <w:rPr>
          <w:rFonts w:ascii="宋体" w:hAnsi="宋体" w:cs="宋体"/>
          <w:b/>
          <w:color w:val="auto"/>
          <w:sz w:val="24"/>
          <w:szCs w:val="24"/>
          <w:highlight w:val="none"/>
        </w:rPr>
        <w:outlineLvl w:val="1"/>
      </w:pPr>
      <w:r>
        <w:rPr>
          <w:rFonts w:ascii="宋体" w:hAnsi="宋体" w:cs="宋体"/>
          <w:b/>
          <w:color w:val="auto"/>
          <w:sz w:val="24"/>
          <w:szCs w:val="24"/>
          <w:highlight w:val="none"/>
        </w:rPr>
      </w:r>
      <w:r/>
    </w:p>
    <w:p>
      <w:pPr>
        <w:ind w:firstLine="482"/>
        <w:jc w:val="center"/>
        <w:widowControl/>
        <w:rPr>
          <w:rFonts w:ascii="宋体" w:hAnsi="宋体" w:cs="宋体"/>
          <w:b/>
          <w:color w:val="auto"/>
          <w:sz w:val="24"/>
          <w:szCs w:val="24"/>
          <w:highlight w:val="none"/>
        </w:rPr>
        <w:outlineLvl w:val="1"/>
      </w:pPr>
      <w:r/>
      <w:bookmarkStart w:id="102" w:name="_Toc66"/>
      <w:r>
        <w:rPr>
          <w:rFonts w:hint="eastAsia" w:ascii="宋体" w:hAnsi="宋体" w:cs="宋体"/>
          <w:b/>
          <w:color w:val="auto"/>
          <w:sz w:val="24"/>
          <w:szCs w:val="24"/>
          <w:highlight w:val="none"/>
        </w:rPr>
        <w:t xml:space="preserve">（一）磋商报价</w:t>
      </w:r>
      <w:r>
        <w:rPr>
          <w:rFonts w:ascii="宋体" w:hAnsi="宋体" w:cs="宋体"/>
          <w:b/>
          <w:color w:val="auto"/>
          <w:sz w:val="24"/>
          <w:szCs w:val="24"/>
          <w:highlight w:val="none"/>
        </w:rPr>
        <w:t xml:space="preserve">表</w:t>
      </w:r>
      <w:bookmarkEnd w:id="102"/>
      <w:r/>
      <w:r/>
    </w:p>
    <w:p>
      <w:pPr>
        <w:jc w:val="left"/>
        <w:spacing w:before="100" w:beforeAutospacing="1" w:after="100" w:afterAutospacing="1"/>
        <w:widowControl/>
        <w:rPr>
          <w:rFonts w:ascii="宋体" w:hAnsi="宋体" w:cs="宋体"/>
          <w:color w:val="auto"/>
          <w:sz w:val="24"/>
          <w:szCs w:val="24"/>
          <w:highlight w:val="none"/>
        </w:rPr>
      </w:pPr>
      <w:r>
        <w:rPr>
          <w:rFonts w:ascii="宋体" w:hAnsi="宋体" w:cs="宋体"/>
          <w:color w:val="auto"/>
          <w:sz w:val="24"/>
          <w:szCs w:val="24"/>
          <w:highlight w:val="none"/>
        </w:rPr>
        <w:t xml:space="preserve">本次为首次报价                      货币单位：人民币元</w:t>
      </w:r>
      <w:r/>
    </w:p>
    <w:p>
      <w:pPr>
        <w:jc w:val="left"/>
        <w:spacing w:before="100" w:beforeAutospacing="1" w:after="100" w:afterAutospacing="1"/>
        <w:widowControl/>
        <w:rPr>
          <w:rFonts w:ascii="宋体" w:hAnsi="宋体" w:cs="宋体"/>
          <w:color w:val="auto"/>
          <w:sz w:val="24"/>
          <w:szCs w:val="24"/>
          <w:highlight w:val="none"/>
        </w:rPr>
      </w:pPr>
      <w:r>
        <w:rPr>
          <w:rFonts w:ascii="宋体" w:hAnsi="宋体" w:cs="宋体"/>
          <w:color w:val="auto"/>
          <w:sz w:val="24"/>
          <w:szCs w:val="24"/>
          <w:highlight w:val="none"/>
        </w:rPr>
        <w:t xml:space="preserve">项目编号：</w:t>
      </w:r>
      <w:r/>
    </w:p>
    <w:tbl>
      <w:tblPr>
        <w:tblStyle w:val="663"/>
        <w:tblW w:w="9367"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372"/>
        <w:gridCol w:w="3033"/>
        <w:gridCol w:w="2962"/>
      </w:tblGrid>
      <w:tr>
        <w:trPr>
          <w:jc w:val="center"/>
          <w:trHeight w:val="900"/>
        </w:trPr>
        <w:tc>
          <w:tcPr>
            <w:tcMar>
              <w:left w:w="0" w:type="dxa"/>
              <w:top w:w="0" w:type="dxa"/>
              <w:right w:w="0" w:type="dxa"/>
              <w:bottom w:w="0" w:type="dxa"/>
            </w:tcMar>
            <w:tcW w:w="3372" w:type="dxa"/>
            <w:vAlign w:val="center"/>
            <w:textDirection w:val="lrTb"/>
            <w:noWrap w:val="false"/>
          </w:tcPr>
          <w:p>
            <w:pPr>
              <w:pStyle w:val="951"/>
              <w:jc w:val="center"/>
              <w:rPr>
                <w:rFonts w:ascii="宋体" w:hAnsi="宋体" w:eastAsia="宋体" w:cs="宋体"/>
                <w:color w:val="auto"/>
                <w:highlight w:val="none"/>
              </w:rPr>
            </w:pPr>
            <w:r>
              <w:rPr>
                <w:rFonts w:hint="eastAsia" w:ascii="宋体" w:hAnsi="宋体" w:eastAsia="宋体" w:cs="宋体"/>
                <w:color w:val="auto"/>
                <w:highlight w:val="none"/>
              </w:rPr>
              <w:t xml:space="preserve">项目</w:t>
            </w:r>
            <w:r>
              <w:rPr>
                <w:rFonts w:ascii="宋体" w:hAnsi="宋体" w:eastAsia="宋体" w:cs="宋体"/>
                <w:color w:val="auto"/>
                <w:highlight w:val="none"/>
              </w:rPr>
              <w:t xml:space="preserve">名称</w:t>
            </w:r>
            <w:r/>
          </w:p>
        </w:tc>
        <w:tc>
          <w:tcPr>
            <w:tcMar>
              <w:left w:w="0" w:type="dxa"/>
              <w:top w:w="0" w:type="dxa"/>
              <w:right w:w="0" w:type="dxa"/>
              <w:bottom w:w="0" w:type="dxa"/>
            </w:tcMar>
            <w:tcW w:w="3033" w:type="dxa"/>
            <w:vAlign w:val="center"/>
            <w:textDirection w:val="lrTb"/>
            <w:noWrap w:val="false"/>
          </w:tcPr>
          <w:p>
            <w:pPr>
              <w:pStyle w:val="951"/>
              <w:jc w:val="center"/>
              <w:rPr>
                <w:rFonts w:ascii="宋体" w:hAnsi="宋体" w:eastAsia="宋体" w:cs="宋体"/>
                <w:color w:val="auto"/>
                <w:highlight w:val="none"/>
              </w:rPr>
            </w:pPr>
            <w:r>
              <w:rPr>
                <w:rFonts w:hint="eastAsia" w:ascii="宋体" w:hAnsi="宋体" w:eastAsia="宋体" w:cs="宋体"/>
                <w:color w:val="auto"/>
                <w:highlight w:val="none"/>
              </w:rPr>
              <w:t xml:space="preserve">项目</w:t>
            </w:r>
            <w:r>
              <w:rPr>
                <w:rFonts w:ascii="宋体" w:hAnsi="宋体" w:eastAsia="宋体" w:cs="宋体"/>
                <w:color w:val="auto"/>
                <w:highlight w:val="none"/>
              </w:rPr>
              <w:t xml:space="preserve">内容</w:t>
            </w:r>
            <w:r/>
          </w:p>
        </w:tc>
        <w:tc>
          <w:tcPr>
            <w:tcW w:w="2962" w:type="dxa"/>
            <w:textDirection w:val="lrTb"/>
            <w:noWrap w:val="false"/>
          </w:tcPr>
          <w:p>
            <w:pPr>
              <w:pStyle w:val="951"/>
              <w:jc w:val="center"/>
              <w:rPr>
                <w:rFonts w:ascii="宋体" w:hAnsi="宋体" w:eastAsia="宋体" w:cs="宋体"/>
                <w:color w:val="auto"/>
                <w:highlight w:val="none"/>
              </w:rPr>
            </w:pPr>
            <w:r>
              <w:rPr>
                <w:rFonts w:ascii="宋体" w:hAnsi="宋体" w:eastAsia="宋体" w:cs="宋体"/>
                <w:color w:val="auto"/>
                <w:highlight w:val="none"/>
              </w:rPr>
            </w:r>
            <w:r/>
          </w:p>
          <w:p>
            <w:pPr>
              <w:pStyle w:val="951"/>
              <w:jc w:val="center"/>
              <w:rPr>
                <w:rFonts w:ascii="宋体" w:hAnsi="宋体" w:eastAsia="宋体" w:cs="宋体"/>
                <w:color w:val="auto"/>
                <w:highlight w:val="none"/>
              </w:rPr>
            </w:pPr>
            <w:r>
              <w:rPr>
                <w:rFonts w:hint="eastAsia" w:ascii="宋体" w:hAnsi="宋体" w:eastAsia="宋体" w:cs="宋体"/>
                <w:color w:val="auto"/>
                <w:highlight w:val="none"/>
              </w:rPr>
              <w:t xml:space="preserve">总价</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小写</w:t>
            </w:r>
            <w:r>
              <w:rPr>
                <w:rFonts w:ascii="宋体" w:hAnsi="宋体" w:eastAsia="宋体" w:cs="宋体"/>
                <w:color w:val="auto"/>
                <w:highlight w:val="none"/>
              </w:rPr>
              <w:t xml:space="preserve">）</w:t>
            </w:r>
            <w:r/>
          </w:p>
        </w:tc>
      </w:tr>
      <w:tr>
        <w:trPr>
          <w:jc w:val="center"/>
          <w:trHeight w:val="900"/>
        </w:trPr>
        <w:tc>
          <w:tcPr>
            <w:tcMar>
              <w:left w:w="0" w:type="dxa"/>
              <w:top w:w="0" w:type="dxa"/>
              <w:right w:w="0" w:type="dxa"/>
              <w:bottom w:w="0" w:type="dxa"/>
            </w:tcMar>
            <w:tcW w:w="3372" w:type="dxa"/>
            <w:vAlign w:val="center"/>
            <w:textDirection w:val="lrTb"/>
            <w:noWrap w:val="false"/>
          </w:tcPr>
          <w:p>
            <w:pPr>
              <w:pStyle w:val="951"/>
              <w:jc w:val="center"/>
              <w:rPr>
                <w:rFonts w:ascii="宋体" w:hAnsi="宋体" w:eastAsia="宋体" w:cs="宋体"/>
                <w:color w:val="auto"/>
                <w:highlight w:val="none"/>
              </w:rPr>
            </w:pPr>
            <w:r>
              <w:rPr>
                <w:rFonts w:hint="eastAsia" w:ascii="宋体" w:hAnsi="宋体" w:eastAsia="宋体" w:cs="宋体"/>
                <w:color w:val="auto"/>
                <w:highlight w:val="none"/>
              </w:rPr>
              <w:t xml:space="preserve">项目名称</w:t>
            </w:r>
            <w:r/>
          </w:p>
        </w:tc>
        <w:tc>
          <w:tcPr>
            <w:tcMar>
              <w:left w:w="0" w:type="dxa"/>
              <w:top w:w="0" w:type="dxa"/>
              <w:right w:w="0" w:type="dxa"/>
              <w:bottom w:w="0" w:type="dxa"/>
            </w:tcMar>
            <w:tcW w:w="3033" w:type="dxa"/>
            <w:vAlign w:val="center"/>
            <w:textDirection w:val="lrTb"/>
            <w:noWrap w:val="false"/>
          </w:tcPr>
          <w:p>
            <w:pPr>
              <w:pStyle w:val="951"/>
              <w:jc w:val="center"/>
              <w:rPr>
                <w:rFonts w:ascii="宋体" w:hAnsi="宋体" w:eastAsia="宋体" w:cs="宋体"/>
                <w:color w:val="auto"/>
                <w:highlight w:val="none"/>
              </w:rPr>
            </w:pPr>
            <w:r>
              <w:rPr>
                <w:rFonts w:ascii="宋体" w:hAnsi="宋体" w:cs="宋体"/>
                <w:color w:val="auto"/>
                <w:highlight w:val="none"/>
              </w:rPr>
              <w:t xml:space="preserve">详见响应文件</w:t>
            </w:r>
            <w:r/>
          </w:p>
        </w:tc>
        <w:tc>
          <w:tcPr>
            <w:tcW w:w="2962" w:type="dxa"/>
            <w:textDirection w:val="lrTb"/>
            <w:noWrap w:val="false"/>
          </w:tcPr>
          <w:p>
            <w:pPr>
              <w:pStyle w:val="951"/>
              <w:jc w:val="center"/>
              <w:rPr>
                <w:rFonts w:ascii="宋体" w:hAnsi="宋体" w:eastAsia="宋体" w:cs="宋体"/>
                <w:color w:val="auto"/>
                <w:highlight w:val="none"/>
              </w:rPr>
            </w:pPr>
            <w:r>
              <w:rPr>
                <w:rFonts w:ascii="宋体" w:hAnsi="宋体" w:eastAsia="宋体" w:cs="宋体"/>
                <w:color w:val="auto"/>
                <w:highlight w:val="none"/>
              </w:rPr>
            </w:r>
            <w:r/>
          </w:p>
          <w:p>
            <w:pPr>
              <w:pStyle w:val="951"/>
              <w:jc w:val="center"/>
              <w:rPr>
                <w:rFonts w:ascii="宋体" w:hAnsi="宋体" w:eastAsia="宋体" w:cs="宋体"/>
                <w:color w:val="auto"/>
                <w:highlight w:val="none"/>
              </w:rPr>
            </w:pPr>
            <w:r>
              <w:rPr>
                <w:rFonts w:hint="eastAsia" w:ascii="宋体" w:hAnsi="宋体" w:eastAsia="宋体" w:cs="宋体"/>
                <w:color w:val="auto"/>
                <w:highlight w:val="none"/>
              </w:rPr>
              <w:t xml:space="preserve">元</w:t>
            </w:r>
            <w:r/>
          </w:p>
        </w:tc>
      </w:tr>
      <w:tr>
        <w:trPr>
          <w:jc w:val="center"/>
          <w:trHeight w:val="900"/>
        </w:trPr>
        <w:tc>
          <w:tcPr>
            <w:tcMar>
              <w:left w:w="0" w:type="dxa"/>
              <w:top w:w="0" w:type="dxa"/>
              <w:right w:w="0" w:type="dxa"/>
              <w:bottom w:w="0" w:type="dxa"/>
            </w:tcMar>
            <w:tcW w:w="3372" w:type="dxa"/>
            <w:vAlign w:val="center"/>
            <w:textDirection w:val="lrTb"/>
            <w:noWrap w:val="false"/>
          </w:tcPr>
          <w:p>
            <w:pPr>
              <w:pStyle w:val="951"/>
              <w:jc w:val="center"/>
              <w:rPr>
                <w:rFonts w:ascii="宋体" w:hAnsi="宋体" w:eastAsia="宋体" w:cs="宋体"/>
                <w:color w:val="auto"/>
                <w:highlight w:val="none"/>
              </w:rPr>
            </w:pPr>
            <w:r>
              <w:rPr>
                <w:rFonts w:ascii="宋体" w:hAnsi="宋体" w:eastAsia="宋体" w:cs="宋体"/>
                <w:color w:val="auto"/>
                <w:highlight w:val="none"/>
              </w:rPr>
              <w:t xml:space="preserve">总价大写</w:t>
            </w:r>
            <w:r/>
          </w:p>
        </w:tc>
        <w:tc>
          <w:tcPr>
            <w:gridSpan w:val="2"/>
            <w:tcMar>
              <w:left w:w="0" w:type="dxa"/>
              <w:top w:w="0" w:type="dxa"/>
              <w:right w:w="0" w:type="dxa"/>
              <w:bottom w:w="0" w:type="dxa"/>
            </w:tcMar>
            <w:tcW w:w="5995" w:type="dxa"/>
            <w:vAlign w:val="center"/>
            <w:textDirection w:val="lrTb"/>
            <w:noWrap w:val="false"/>
          </w:tcPr>
          <w:p>
            <w:pPr>
              <w:pStyle w:val="951"/>
              <w:jc w:val="center"/>
              <w:rPr>
                <w:rFonts w:ascii="宋体" w:hAnsi="宋体" w:eastAsia="宋体" w:cs="宋体"/>
                <w:color w:val="auto"/>
                <w:highlight w:val="none"/>
              </w:rPr>
            </w:pPr>
            <w:r>
              <w:rPr>
                <w:rFonts w:ascii="宋体" w:hAnsi="宋体" w:eastAsia="宋体" w:cs="宋体"/>
                <w:color w:val="auto"/>
                <w:highlight w:val="none"/>
              </w:rPr>
            </w:r>
            <w:r/>
          </w:p>
        </w:tc>
      </w:tr>
    </w:tbl>
    <w:p>
      <w:pPr>
        <w:jc w:val="left"/>
        <w:spacing w:before="100" w:beforeAutospacing="1" w:after="100" w:afterAutospacing="1"/>
        <w:widowControl/>
        <w:rPr>
          <w:rFonts w:ascii="宋体" w:hAnsi="宋体" w:cs="宋体"/>
          <w:color w:val="auto"/>
          <w:sz w:val="24"/>
          <w:szCs w:val="24"/>
          <w:highlight w:val="none"/>
        </w:rPr>
      </w:pPr>
      <w:r>
        <w:rPr>
          <w:rFonts w:ascii="宋体" w:hAnsi="宋体" w:cs="宋体"/>
          <w:color w:val="auto"/>
          <w:sz w:val="24"/>
          <w:szCs w:val="24"/>
          <w:highlight w:val="none"/>
        </w:rPr>
        <w:t xml:space="preserve"> 报价说明：</w:t>
      </w:r>
      <w:r/>
    </w:p>
    <w:p>
      <w:pPr>
        <w:jc w:val="left"/>
        <w:spacing w:before="100" w:beforeAutospacing="1" w:after="100" w:afterAutospacing="1"/>
        <w:widowControl/>
        <w:rPr>
          <w:rFonts w:ascii="宋体" w:hAnsi="宋体" w:cs="宋体"/>
          <w:color w:val="auto"/>
          <w:sz w:val="24"/>
          <w:szCs w:val="24"/>
          <w:highlight w:val="none"/>
        </w:rPr>
      </w:pPr>
      <w:r>
        <w:rPr>
          <w:rFonts w:ascii="宋体" w:hAnsi="宋体" w:cs="宋体"/>
          <w:color w:val="auto"/>
          <w:sz w:val="24"/>
          <w:szCs w:val="24"/>
          <w:highlight w:val="none"/>
        </w:rPr>
        <w:t xml:space="preserve">1、报价包括完成项目的所有费用。采购人不再支付报价以外的任何费用。</w:t>
      </w:r>
      <w:r/>
    </w:p>
    <w:p>
      <w:pPr>
        <w:jc w:val="left"/>
        <w:spacing w:before="100" w:beforeAutospacing="1" w:after="100" w:afterAutospacing="1"/>
        <w:widowControl/>
        <w:rPr>
          <w:rFonts w:ascii="宋体" w:hAnsi="宋体" w:cs="宋体"/>
          <w:color w:val="auto"/>
          <w:sz w:val="24"/>
          <w:szCs w:val="24"/>
          <w:highlight w:val="none"/>
        </w:rPr>
      </w:pPr>
      <w:r>
        <w:rPr>
          <w:rFonts w:ascii="宋体" w:hAnsi="宋体" w:cs="宋体"/>
          <w:color w:val="auto"/>
          <w:sz w:val="24"/>
          <w:szCs w:val="24"/>
          <w:highlight w:val="none"/>
        </w:rPr>
        <w:t xml:space="preserve">2、报价以总价为准，大小写不一致以大写为准；</w:t>
      </w:r>
      <w:r/>
    </w:p>
    <w:p>
      <w:pPr>
        <w:jc w:val="left"/>
        <w:spacing w:before="100" w:beforeAutospacing="1" w:after="100" w:afterAutospacing="1"/>
        <w:widowControl/>
        <w:rPr>
          <w:rFonts w:ascii="宋体" w:hAnsi="宋体" w:cs="宋体"/>
          <w:color w:val="auto"/>
          <w:sz w:val="24"/>
          <w:szCs w:val="24"/>
          <w:highlight w:val="none"/>
        </w:rPr>
      </w:pPr>
      <w:r>
        <w:rPr>
          <w:rFonts w:ascii="宋体" w:hAnsi="宋体" w:cs="宋体"/>
          <w:color w:val="auto"/>
          <w:sz w:val="24"/>
          <w:szCs w:val="24"/>
          <w:highlight w:val="none"/>
        </w:rPr>
        <w:t xml:space="preserve">3、偏离说明：详见《偏离表》；</w:t>
      </w:r>
      <w:r/>
    </w:p>
    <w:p>
      <w:pPr>
        <w:jc w:val="left"/>
        <w:spacing w:before="100" w:beforeAutospacing="1" w:after="100" w:afterAutospacing="1"/>
        <w:widowControl/>
        <w:rPr>
          <w:rFonts w:ascii="宋体" w:hAnsi="宋体" w:cs="宋体"/>
          <w:color w:val="auto"/>
          <w:sz w:val="24"/>
          <w:szCs w:val="24"/>
          <w:highlight w:val="none"/>
        </w:rPr>
      </w:pPr>
      <w:r>
        <w:rPr>
          <w:rFonts w:ascii="宋体" w:hAnsi="宋体" w:cs="宋体"/>
          <w:color w:val="auto"/>
          <w:sz w:val="24"/>
          <w:szCs w:val="24"/>
          <w:highlight w:val="none"/>
        </w:rPr>
        <w:t xml:space="preserve">响应单位（公章）：</w:t>
      </w:r>
      <w:r/>
    </w:p>
    <w:p>
      <w:pPr>
        <w:jc w:val="left"/>
        <w:spacing w:before="100" w:beforeAutospacing="1" w:after="100" w:afterAutospacing="1"/>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left"/>
        <w:spacing w:before="100" w:beforeAutospacing="1" w:after="100" w:afterAutospacing="1"/>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left"/>
        <w:spacing w:before="100" w:beforeAutospacing="1" w:after="100" w:afterAutospacing="1"/>
        <w:widowControl/>
        <w:rPr>
          <w:rFonts w:ascii="宋体" w:hAnsi="宋体" w:cs="宋体"/>
          <w:color w:val="auto"/>
          <w:sz w:val="24"/>
          <w:szCs w:val="24"/>
          <w:highlight w:val="none"/>
        </w:rPr>
      </w:pPr>
      <w:r>
        <w:rPr>
          <w:rFonts w:ascii="宋体" w:hAnsi="宋体" w:cs="宋体"/>
          <w:color w:val="auto"/>
          <w:sz w:val="24"/>
          <w:szCs w:val="24"/>
          <w:highlight w:val="none"/>
        </w:rPr>
        <w:t xml:space="preserve">法定代表人或授权代表（签字或盖章）：</w:t>
      </w:r>
      <w:r/>
    </w:p>
    <w:p>
      <w:pPr>
        <w:pStyle w:val="908"/>
        <w:jc w:val="center"/>
        <w:rPr>
          <w:color w:val="auto"/>
          <w:highlight w:val="none"/>
        </w:rPr>
        <w:outlineLvl w:val="1"/>
      </w:pPr>
      <w:r>
        <w:rPr>
          <w:color w:val="auto"/>
          <w:highlight w:val="none"/>
        </w:rPr>
      </w:r>
      <w:r/>
    </w:p>
    <w:p>
      <w:pPr>
        <w:pStyle w:val="908"/>
        <w:jc w:val="center"/>
        <w:rPr>
          <w:color w:val="auto"/>
          <w:highlight w:val="none"/>
        </w:rPr>
        <w:outlineLvl w:val="1"/>
      </w:pPr>
      <w:r>
        <w:rPr>
          <w:color w:val="auto"/>
          <w:highlight w:val="none"/>
        </w:rPr>
      </w:r>
      <w:r/>
    </w:p>
    <w:p>
      <w:pPr>
        <w:pStyle w:val="908"/>
        <w:jc w:val="center"/>
        <w:rPr>
          <w:color w:val="auto"/>
          <w:highlight w:val="none"/>
        </w:rPr>
        <w:outlineLvl w:val="1"/>
      </w:pPr>
      <w:r>
        <w:rPr>
          <w:color w:val="auto"/>
          <w:highlight w:val="none"/>
        </w:rPr>
      </w:r>
      <w:r/>
    </w:p>
    <w:p>
      <w:pPr>
        <w:pStyle w:val="908"/>
        <w:jc w:val="center"/>
        <w:rPr>
          <w:color w:val="auto"/>
          <w:highlight w:val="none"/>
        </w:rPr>
        <w:outlineLvl w:val="1"/>
      </w:pPr>
      <w:r>
        <w:rPr>
          <w:color w:val="auto"/>
          <w:highlight w:val="none"/>
        </w:rPr>
      </w:r>
      <w:r/>
    </w:p>
    <w:p>
      <w:pPr>
        <w:pStyle w:val="908"/>
        <w:jc w:val="center"/>
        <w:rPr>
          <w:color w:val="auto"/>
          <w:highlight w:val="none"/>
        </w:rPr>
        <w:outlineLvl w:val="1"/>
      </w:pPr>
      <w:r>
        <w:rPr>
          <w:color w:val="auto"/>
          <w:highlight w:val="none"/>
        </w:rPr>
      </w:r>
      <w:r/>
    </w:p>
    <w:p>
      <w:pPr>
        <w:pStyle w:val="908"/>
        <w:jc w:val="center"/>
        <w:rPr>
          <w:color w:val="auto"/>
          <w:highlight w:val="none"/>
        </w:rPr>
        <w:outlineLvl w:val="1"/>
      </w:pPr>
      <w:r>
        <w:rPr>
          <w:color w:val="auto"/>
          <w:highlight w:val="none"/>
        </w:rPr>
      </w:r>
      <w:r/>
    </w:p>
    <w:p>
      <w:pPr>
        <w:pStyle w:val="908"/>
        <w:jc w:val="center"/>
        <w:rPr>
          <w:color w:val="auto"/>
          <w:highlight w:val="none"/>
        </w:rPr>
        <w:outlineLvl w:val="1"/>
      </w:pPr>
      <w:r>
        <w:rPr>
          <w:color w:val="auto"/>
          <w:highlight w:val="none"/>
        </w:rPr>
      </w:r>
      <w:r/>
    </w:p>
    <w:p>
      <w:pPr>
        <w:pStyle w:val="908"/>
        <w:jc w:val="center"/>
        <w:rPr>
          <w:color w:val="auto"/>
          <w:highlight w:val="none"/>
        </w:rPr>
        <w:outlineLvl w:val="1"/>
      </w:pPr>
      <w:r>
        <w:rPr>
          <w:color w:val="auto"/>
          <w:highlight w:val="none"/>
        </w:rPr>
      </w:r>
      <w:r/>
    </w:p>
    <w:p>
      <w:pPr>
        <w:pStyle w:val="908"/>
        <w:jc w:val="center"/>
        <w:rPr>
          <w:color w:val="auto"/>
          <w:highlight w:val="none"/>
        </w:rPr>
        <w:outlineLvl w:val="1"/>
      </w:pPr>
      <w:r>
        <w:rPr>
          <w:color w:val="auto"/>
          <w:highlight w:val="none"/>
        </w:rPr>
      </w:r>
      <w:r/>
    </w:p>
    <w:p>
      <w:pPr>
        <w:ind w:firstLine="482"/>
        <w:jc w:val="center"/>
        <w:widowControl/>
        <w:rPr>
          <w:rFonts w:ascii="宋体" w:hAnsi="宋体" w:cs="宋体"/>
          <w:b/>
          <w:bCs/>
          <w:color w:val="auto"/>
          <w:sz w:val="24"/>
          <w:szCs w:val="24"/>
          <w:highlight w:val="none"/>
        </w:rPr>
        <w:outlineLvl w:val="1"/>
      </w:pPr>
      <w:r>
        <w:rPr>
          <w:rFonts w:ascii="宋体" w:hAnsi="宋体" w:cs="宋体"/>
          <w:b/>
          <w:bCs/>
          <w:color w:val="auto"/>
          <w:sz w:val="24"/>
          <w:szCs w:val="24"/>
          <w:highlight w:val="none"/>
        </w:rPr>
      </w:r>
      <w:r/>
    </w:p>
    <w:p>
      <w:pPr>
        <w:ind w:firstLine="482"/>
        <w:jc w:val="center"/>
        <w:widowControl/>
        <w:rPr>
          <w:rFonts w:hint="eastAsia" w:ascii="宋体" w:hAnsi="宋体" w:eastAsia="宋体" w:cs="宋体"/>
          <w:b/>
          <w:color w:val="auto"/>
          <w:sz w:val="24"/>
          <w:szCs w:val="24"/>
          <w:highlight w:val="none"/>
          <w:lang w:eastAsia="zh-CN"/>
        </w:rPr>
        <w:outlineLvl w:val="1"/>
      </w:pPr>
      <w:r/>
      <w:bookmarkStart w:id="103" w:name="_Toc67"/>
      <w:r>
        <w:rPr>
          <w:rFonts w:hint="eastAsia" w:ascii="宋体" w:hAnsi="宋体" w:cs="宋体"/>
          <w:b/>
          <w:color w:val="auto"/>
          <w:sz w:val="24"/>
          <w:szCs w:val="24"/>
          <w:highlight w:val="none"/>
          <w:lang w:eastAsia="zh-CN"/>
        </w:rPr>
        <w:t xml:space="preserve">（二）磋商响应函</w:t>
      </w:r>
      <w:r/>
    </w:p>
    <w:p>
      <w:pPr>
        <w:pStyle w:val="856"/>
        <w:ind w:right="420"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856"/>
        <w:ind w:right="420"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致：丹阳市政府采购中心</w:t>
      </w:r>
      <w:r/>
    </w:p>
    <w:p>
      <w:pPr>
        <w:pStyle w:val="856"/>
        <w:ind w:right="420"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根据贵方的JSZC-320000-***    号磋商文件，正式授权下述签字人______(姓名)代表我方______________（供应商的名称），全权处理本次项目磋商的有关事宜。</w:t>
      </w:r>
      <w:r/>
    </w:p>
    <w:p>
      <w:pPr>
        <w:pStyle w:val="856"/>
        <w:ind w:right="420"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据此函，__________签字人兹宣布同意如下：</w:t>
      </w:r>
      <w:r/>
    </w:p>
    <w:p>
      <w:pPr>
        <w:pStyle w:val="856"/>
        <w:ind w:right="420"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1.按磋商文件规定的各项要求，向买方提供所需货物、服务（包含与货物相关的服务及与服务相关的货物）。</w:t>
      </w:r>
      <w:r/>
    </w:p>
    <w:p>
      <w:pPr>
        <w:pStyle w:val="856"/>
        <w:ind w:right="420"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2.我们完全理解贵方不一定将合同授予最低报价的供应商。</w:t>
      </w:r>
      <w:r/>
    </w:p>
    <w:p>
      <w:pPr>
        <w:pStyle w:val="856"/>
        <w:ind w:right="420"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3.我们已详细审核全部磋商文件及其有效补充文件，我们知道必须放弃提出含糊不清或误解问题的权利。</w:t>
      </w:r>
      <w:r/>
    </w:p>
    <w:p>
      <w:pPr>
        <w:pStyle w:val="856"/>
        <w:ind w:right="420"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4.我们同意从规定的开标日期起遵循本响应文件，并在规定的磋商有效期期满之前均具有约束力。</w:t>
      </w:r>
      <w:r/>
    </w:p>
    <w:p>
      <w:pPr>
        <w:pStyle w:val="856"/>
        <w:ind w:right="420"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5.同意向贵方提供贵方可能另外要求的与磋商有关的任何证据或资料，并保证我方已提供和将要提供的文件是真实的、准确的。</w:t>
      </w:r>
      <w:r/>
    </w:p>
    <w:p>
      <w:pPr>
        <w:pStyle w:val="856"/>
        <w:ind w:right="420"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6.一旦我方成交,我方将根据磋商文件的规定，严格履行合同的责任和义务,并保证在磋商文件规定的时间完成项目，交付买方验收、使用。</w:t>
      </w:r>
      <w:r/>
    </w:p>
    <w:p>
      <w:pPr>
        <w:pStyle w:val="856"/>
        <w:ind w:right="420"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7.我方与本磋商有关的正式通讯地址为：</w:t>
      </w:r>
      <w:r/>
    </w:p>
    <w:p>
      <w:pPr>
        <w:pStyle w:val="856"/>
        <w:ind w:right="420"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          址：</w:t>
      </w:r>
      <w:r/>
    </w:p>
    <w:p>
      <w:pPr>
        <w:pStyle w:val="856"/>
        <w:ind w:right="420"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邮          编：</w:t>
      </w:r>
      <w:r/>
    </w:p>
    <w:p>
      <w:pPr>
        <w:pStyle w:val="856"/>
        <w:ind w:right="420"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          话：</w:t>
      </w:r>
      <w:r/>
    </w:p>
    <w:p>
      <w:pPr>
        <w:pStyle w:val="856"/>
        <w:ind w:right="420"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传          真：</w:t>
      </w:r>
      <w:r/>
    </w:p>
    <w:p>
      <w:pPr>
        <w:pStyle w:val="856"/>
        <w:ind w:right="420"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供应商开户行：</w:t>
      </w:r>
      <w:r/>
    </w:p>
    <w:p>
      <w:pPr>
        <w:pStyle w:val="856"/>
        <w:ind w:right="420"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账          号： </w:t>
      </w:r>
      <w:r/>
    </w:p>
    <w:p>
      <w:pPr>
        <w:pStyle w:val="856"/>
        <w:ind w:right="420"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期：________年____月____日</w:t>
      </w:r>
      <w:r/>
    </w:p>
    <w:p>
      <w:pPr>
        <w:ind w:firstLine="482"/>
        <w:jc w:val="center"/>
        <w:widowControl/>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rPr>
      </w:r>
      <w:r/>
    </w:p>
    <w:p>
      <w:pPr>
        <w:ind w:firstLine="482"/>
        <w:jc w:val="center"/>
        <w:widowControl/>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rPr>
      </w:r>
      <w:r/>
    </w:p>
    <w:p>
      <w:pPr>
        <w:ind w:firstLine="482"/>
        <w:jc w:val="center"/>
        <w:widowControl/>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rPr>
      </w:r>
      <w:r/>
    </w:p>
    <w:p>
      <w:pPr>
        <w:ind w:firstLine="482"/>
        <w:jc w:val="center"/>
        <w:widowControl/>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rPr>
      </w:r>
      <w:r/>
    </w:p>
    <w:p>
      <w:pPr>
        <w:ind w:firstLine="482"/>
        <w:jc w:val="center"/>
        <w:widowControl/>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rPr>
      </w:r>
      <w:r/>
    </w:p>
    <w:p>
      <w:pPr>
        <w:ind w:firstLine="482"/>
        <w:jc w:val="center"/>
        <w:widowControl/>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rPr>
      </w:r>
      <w:r/>
    </w:p>
    <w:p>
      <w:pPr>
        <w:ind w:firstLine="482"/>
        <w:jc w:val="center"/>
        <w:widowControl/>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rPr>
      </w:r>
      <w:r/>
    </w:p>
    <w:p>
      <w:pPr>
        <w:ind w:firstLine="482"/>
        <w:jc w:val="center"/>
        <w:widowControl/>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rPr>
      </w:r>
      <w:r/>
    </w:p>
    <w:p>
      <w:pPr>
        <w:ind w:firstLine="482"/>
        <w:jc w:val="center"/>
        <w:widowControl/>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rPr>
      </w:r>
      <w:r/>
    </w:p>
    <w:p>
      <w:pPr>
        <w:ind w:firstLine="482"/>
        <w:jc w:val="center"/>
        <w:widowControl/>
        <w:rPr>
          <w:color w:val="auto"/>
          <w:highlight w:val="none"/>
        </w:rPr>
        <w:outlineLvl w:val="1"/>
      </w:pPr>
      <w:r>
        <w:rPr>
          <w:rFonts w:hint="eastAsia" w:ascii="宋体" w:hAnsi="宋体" w:cs="宋体"/>
          <w:b/>
          <w:color w:val="auto"/>
          <w:sz w:val="24"/>
          <w:szCs w:val="24"/>
          <w:highlight w:val="none"/>
        </w:rPr>
        <w:t xml:space="preserve">(二)首次明细报价表</w:t>
      </w:r>
      <w:bookmarkEnd w:id="103"/>
      <w:r/>
      <w:r/>
    </w:p>
    <w:p>
      <w:pPr>
        <w:pStyle w:val="952"/>
        <w:jc w:val="center"/>
        <w:rPr>
          <w:color w:val="auto"/>
          <w:highlight w:val="none"/>
        </w:rPr>
        <w:outlineLvl w:val="2"/>
      </w:pPr>
      <w:r>
        <w:rPr>
          <w:color w:val="auto"/>
          <w:highlight w:val="none"/>
        </w:rPr>
      </w:r>
      <w:r/>
    </w:p>
    <w:tbl>
      <w:tblPr>
        <w:tblStyle w:val="66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805"/>
        <w:gridCol w:w="2983"/>
        <w:gridCol w:w="11"/>
        <w:gridCol w:w="875"/>
        <w:gridCol w:w="936"/>
        <w:gridCol w:w="3516"/>
      </w:tblGrid>
      <w:tr>
        <w:trPr>
          <w:trHeight w:val="594"/>
        </w:trPr>
        <w:tc>
          <w:tcPr>
            <w:gridSpan w:val="7"/>
            <w:tcW w:w="9582" w:type="dxa"/>
            <w:vAlign w:val="center"/>
            <w:textDirection w:val="lrTb"/>
            <w:noWrap w:val="false"/>
          </w:tcPr>
          <w:p>
            <w:pPr>
              <w:pStyle w:val="949"/>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一、服务部分</w:t>
            </w:r>
            <w:r/>
          </w:p>
        </w:tc>
      </w:tr>
      <w:tr>
        <w:trPr>
          <w:trHeight w:val="594"/>
        </w:trPr>
        <w:tc>
          <w:tcPr>
            <w:tcW w:w="279" w:type="dxa"/>
            <w:vAlign w:val="center"/>
            <w:textDirection w:val="lrTb"/>
            <w:noWrap w:val="false"/>
          </w:tcPr>
          <w:p>
            <w:pPr>
              <w:pStyle w:val="949"/>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822" w:type="dxa"/>
            <w:vAlign w:val="center"/>
            <w:textDirection w:val="lrTb"/>
            <w:noWrap w:val="false"/>
          </w:tcPr>
          <w:p>
            <w:pPr>
              <w:pStyle w:val="949"/>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名称</w:t>
            </w:r>
            <w:r/>
          </w:p>
        </w:tc>
        <w:tc>
          <w:tcPr>
            <w:gridSpan w:val="2"/>
            <w:tcW w:w="3120" w:type="dxa"/>
            <w:vAlign w:val="center"/>
            <w:textDirection w:val="lrTb"/>
            <w:noWrap w:val="false"/>
          </w:tcPr>
          <w:p>
            <w:pPr>
              <w:pStyle w:val="949"/>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服务内容</w:t>
            </w:r>
            <w:r/>
          </w:p>
        </w:tc>
        <w:tc>
          <w:tcPr>
            <w:tcW w:w="896" w:type="dxa"/>
            <w:vAlign w:val="center"/>
            <w:textDirection w:val="lrTb"/>
            <w:noWrap w:val="false"/>
          </w:tcPr>
          <w:p>
            <w:pPr>
              <w:pStyle w:val="949"/>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服务期</w:t>
            </w:r>
            <w:r/>
          </w:p>
        </w:tc>
        <w:tc>
          <w:tcPr>
            <w:tcW w:w="797" w:type="dxa"/>
            <w:vAlign w:val="center"/>
            <w:textDirection w:val="lrTb"/>
            <w:noWrap w:val="false"/>
          </w:tcPr>
          <w:p>
            <w:pPr>
              <w:pStyle w:val="949"/>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价格（元）</w:t>
            </w:r>
            <w:r/>
          </w:p>
        </w:tc>
        <w:tc>
          <w:tcPr>
            <w:tcW w:w="578" w:type="dxa"/>
            <w:vAlign w:val="center"/>
            <w:textDirection w:val="lrTb"/>
            <w:noWrap w:val="false"/>
          </w:tcPr>
          <w:p>
            <w:pPr>
              <w:pStyle w:val="949"/>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trHeight w:val="594"/>
        </w:trPr>
        <w:tc>
          <w:tcPr>
            <w:tcW w:w="279" w:type="dxa"/>
            <w:vAlign w:val="center"/>
            <w:textDirection w:val="lrTb"/>
            <w:noWrap w:val="false"/>
          </w:tcPr>
          <w:p>
            <w:pPr>
              <w:pStyle w:val="949"/>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822" w:type="dxa"/>
            <w:vAlign w:val="center"/>
            <w:textDirection w:val="lrTb"/>
            <w:noWrap w:val="false"/>
          </w:tcPr>
          <w:p>
            <w:pPr>
              <w:pStyle w:val="94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gridSpan w:val="2"/>
            <w:tcW w:w="3120" w:type="dxa"/>
            <w:vAlign w:val="center"/>
            <w:textDirection w:val="lrTb"/>
            <w:noWrap w:val="false"/>
          </w:tcPr>
          <w:p>
            <w:pPr>
              <w:pStyle w:val="94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96" w:type="dxa"/>
            <w:vAlign w:val="center"/>
            <w:textDirection w:val="lrTb"/>
            <w:noWrap w:val="false"/>
          </w:tcPr>
          <w:p>
            <w:pPr>
              <w:pStyle w:val="94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97" w:type="dxa"/>
            <w:vAlign w:val="center"/>
            <w:textDirection w:val="lrTb"/>
            <w:noWrap w:val="false"/>
          </w:tcPr>
          <w:p>
            <w:pPr>
              <w:pStyle w:val="94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578" w:type="dxa"/>
            <w:vAlign w:val="center"/>
            <w:textDirection w:val="lrTb"/>
            <w:noWrap w:val="false"/>
          </w:tcPr>
          <w:p>
            <w:pPr>
              <w:pStyle w:val="94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594"/>
        </w:trPr>
        <w:tc>
          <w:tcPr>
            <w:tcW w:w="279" w:type="dxa"/>
            <w:vAlign w:val="center"/>
            <w:textDirection w:val="lrTb"/>
            <w:noWrap w:val="false"/>
          </w:tcPr>
          <w:p>
            <w:pPr>
              <w:pStyle w:val="94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22" w:type="dxa"/>
            <w:vAlign w:val="center"/>
            <w:textDirection w:val="lrTb"/>
            <w:noWrap w:val="false"/>
          </w:tcPr>
          <w:p>
            <w:pPr>
              <w:pStyle w:val="94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gridSpan w:val="2"/>
            <w:tcW w:w="3120" w:type="dxa"/>
            <w:vAlign w:val="center"/>
            <w:textDirection w:val="lrTb"/>
            <w:noWrap w:val="false"/>
          </w:tcPr>
          <w:p>
            <w:pPr>
              <w:pStyle w:val="94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96" w:type="dxa"/>
            <w:vAlign w:val="center"/>
            <w:textDirection w:val="lrTb"/>
            <w:noWrap w:val="false"/>
          </w:tcPr>
          <w:p>
            <w:pPr>
              <w:pStyle w:val="94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97" w:type="dxa"/>
            <w:vAlign w:val="center"/>
            <w:textDirection w:val="lrTb"/>
            <w:noWrap w:val="false"/>
          </w:tcPr>
          <w:p>
            <w:pPr>
              <w:pStyle w:val="94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578" w:type="dxa"/>
            <w:vAlign w:val="center"/>
            <w:textDirection w:val="lrTb"/>
            <w:noWrap w:val="false"/>
          </w:tcPr>
          <w:p>
            <w:pPr>
              <w:pStyle w:val="94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594"/>
        </w:trPr>
        <w:tc>
          <w:tcPr>
            <w:gridSpan w:val="7"/>
            <w:tcW w:w="9582" w:type="dxa"/>
            <w:vAlign w:val="center"/>
            <w:textDirection w:val="lrTb"/>
            <w:noWrap w:val="false"/>
          </w:tcPr>
          <w:p>
            <w:pPr>
              <w:pStyle w:val="949"/>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服务部分小计：     元</w:t>
            </w:r>
            <w:r/>
          </w:p>
        </w:tc>
      </w:tr>
      <w:tr>
        <w:trPr/>
        <w:tc>
          <w:tcPr>
            <w:gridSpan w:val="3"/>
            <w:tcW w:w="4210" w:type="dxa"/>
            <w:textDirection w:val="lrTb"/>
            <w:noWrap w:val="false"/>
          </w:tcPr>
          <w:p>
            <w:pPr>
              <w:pStyle w:val="949"/>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其它相关费用</w:t>
            </w:r>
            <w:r/>
          </w:p>
        </w:tc>
        <w:tc>
          <w:tcPr>
            <w:gridSpan w:val="4"/>
            <w:tcW w:w="5372" w:type="dxa"/>
            <w:textDirection w:val="lrTb"/>
            <w:noWrap w:val="false"/>
          </w:tcPr>
          <w:p>
            <w:pPr>
              <w:pStyle w:val="949"/>
              <w:jc w:val="center"/>
              <w:spacing w:line="360" w:lineRule="auto"/>
              <w:rPr>
                <w:rFonts w:ascii="宋体" w:hAnsi="宋体"/>
                <w:color w:val="auto"/>
                <w:sz w:val="24"/>
                <w:szCs w:val="24"/>
                <w:highlight w:val="none"/>
              </w:rPr>
            </w:pPr>
            <w:r>
              <w:rPr>
                <w:rFonts w:hint="eastAsia" w:ascii="宋体" w:hAnsi="宋体" w:cs="楷体"/>
                <w:color w:val="auto"/>
                <w:sz w:val="24"/>
                <w:szCs w:val="24"/>
                <w:highlight w:val="none"/>
              </w:rPr>
              <w:t xml:space="preserve">元</w:t>
            </w:r>
            <w:r/>
          </w:p>
        </w:tc>
      </w:tr>
      <w:tr>
        <w:trPr/>
        <w:tc>
          <w:tcPr>
            <w:gridSpan w:val="3"/>
            <w:tcW w:w="4210" w:type="dxa"/>
            <w:textDirection w:val="lrTb"/>
            <w:noWrap w:val="false"/>
          </w:tcPr>
          <w:p>
            <w:pPr>
              <w:pStyle w:val="949"/>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项目总报价</w:t>
            </w:r>
            <w:r/>
          </w:p>
        </w:tc>
        <w:tc>
          <w:tcPr>
            <w:gridSpan w:val="4"/>
            <w:tcW w:w="5372" w:type="dxa"/>
            <w:textDirection w:val="lrTb"/>
            <w:noWrap w:val="false"/>
          </w:tcPr>
          <w:p>
            <w:pPr>
              <w:pStyle w:val="949"/>
              <w:jc w:val="center"/>
              <w:spacing w:line="360" w:lineRule="auto"/>
              <w:rPr>
                <w:rFonts w:ascii="宋体" w:hAnsi="宋体"/>
                <w:color w:val="auto"/>
                <w:sz w:val="24"/>
                <w:szCs w:val="24"/>
                <w:highlight w:val="none"/>
              </w:rPr>
            </w:pPr>
            <w:r>
              <w:rPr>
                <w:rFonts w:hint="eastAsia" w:ascii="宋体" w:hAnsi="宋体" w:cs="楷体"/>
                <w:color w:val="auto"/>
                <w:sz w:val="24"/>
                <w:szCs w:val="24"/>
                <w:highlight w:val="none"/>
              </w:rPr>
              <w:t xml:space="preserve">元</w:t>
            </w:r>
            <w:r/>
          </w:p>
        </w:tc>
      </w:tr>
    </w:tbl>
    <w:p>
      <w:pPr>
        <w:pStyle w:val="949"/>
        <w:ind w:hanging="283"/>
        <w:spacing w:line="360" w:lineRule="auto"/>
        <w:rPr>
          <w:rFonts w:ascii="宋体" w:hAnsi="宋体"/>
          <w:color w:val="auto"/>
          <w:sz w:val="24"/>
          <w:szCs w:val="24"/>
          <w:highlight w:val="none"/>
        </w:rPr>
      </w:pPr>
      <w:r>
        <w:rPr>
          <w:rFonts w:ascii="宋体" w:hAnsi="宋体"/>
          <w:color w:val="auto"/>
          <w:sz w:val="24"/>
          <w:szCs w:val="24"/>
          <w:highlight w:val="none"/>
        </w:rPr>
      </w:r>
      <w:r/>
    </w:p>
    <w:p>
      <w:pPr>
        <w:pStyle w:val="949"/>
        <w:ind w:left="-2"/>
        <w:spacing w:line="360" w:lineRule="auto"/>
        <w:rPr>
          <w:rFonts w:ascii="宋体" w:hAnsi="宋体"/>
          <w:b/>
          <w:color w:val="auto"/>
          <w:sz w:val="24"/>
          <w:szCs w:val="24"/>
          <w:highlight w:val="none"/>
          <w:u w:val="single"/>
        </w:rPr>
      </w:pPr>
      <w:r>
        <w:rPr>
          <w:rFonts w:hint="eastAsia" w:ascii="宋体" w:hAnsi="宋体"/>
          <w:color w:val="auto"/>
          <w:sz w:val="24"/>
          <w:szCs w:val="24"/>
          <w:highlight w:val="none"/>
        </w:rPr>
        <w:t xml:space="preserve">注：1、</w:t>
      </w:r>
      <w:r>
        <w:rPr>
          <w:rFonts w:hint="eastAsia" w:ascii="宋体" w:hAnsi="宋体"/>
          <w:color w:val="auto"/>
          <w:sz w:val="24"/>
          <w:szCs w:val="24"/>
          <w:highlight w:val="none"/>
          <w:u w:val="single"/>
        </w:rPr>
        <w:t xml:space="preserve">供应商应当按照磋商文件采购需求及相关报价要求填写。</w:t>
      </w:r>
      <w:r/>
    </w:p>
    <w:p>
      <w:pPr>
        <w:pStyle w:val="949"/>
        <w:ind w:left="-2"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本表中“其它”由供应商根据采购需求及自身经验进行补充填写。项目实施时，除采购人明确提出需要变更增加外，不再增加任何费用，供应商应确保本项目能安全、正常运行并达到采购要求。</w:t>
      </w:r>
      <w:r/>
    </w:p>
    <w:p>
      <w:pPr>
        <w:pStyle w:val="949"/>
        <w:ind w:left="-2"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3、</w:t>
      </w:r>
      <w:r>
        <w:rPr>
          <w:rFonts w:hint="eastAsia" w:ascii="宋体" w:hAnsi="宋体"/>
          <w:color w:val="auto"/>
          <w:sz w:val="24"/>
          <w:szCs w:val="24"/>
          <w:highlight w:val="none"/>
          <w:u w:val="single"/>
        </w:rPr>
        <w:t xml:space="preserve">本表中项目总报价应与报价一览表中项目总报价保持一致。</w:t>
      </w:r>
      <w:r/>
    </w:p>
    <w:p>
      <w:pPr>
        <w:pStyle w:val="949"/>
        <w:ind w:left="-2"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4、</w:t>
      </w:r>
      <w:r>
        <w:rPr>
          <w:rFonts w:hint="eastAsia" w:ascii="宋体" w:hAnsi="宋体"/>
          <w:bCs/>
          <w:color w:val="auto"/>
          <w:sz w:val="24"/>
          <w:szCs w:val="24"/>
          <w:highlight w:val="none"/>
          <w:u w:val="single"/>
        </w:rPr>
        <w:t xml:space="preserve">报价保留至小数点后两位，四舍五入。</w:t>
      </w:r>
      <w:r/>
    </w:p>
    <w:p>
      <w:pPr>
        <w:pStyle w:val="908"/>
        <w:jc w:val="center"/>
        <w:rPr>
          <w:color w:val="auto"/>
          <w:highlight w:val="none"/>
        </w:rPr>
        <w:outlineLvl w:val="1"/>
      </w:pPr>
      <w:r>
        <w:rPr>
          <w:color w:val="auto"/>
          <w:highlight w:val="none"/>
        </w:rPr>
      </w:r>
      <w:r/>
    </w:p>
    <w:p>
      <w:pPr>
        <w:pStyle w:val="908"/>
        <w:jc w:val="center"/>
        <w:rPr>
          <w:color w:val="auto"/>
          <w:highlight w:val="none"/>
        </w:rPr>
        <w:outlineLvl w:val="1"/>
      </w:pPr>
      <w:r>
        <w:rPr>
          <w:color w:val="auto"/>
          <w:highlight w:val="none"/>
        </w:rPr>
      </w:r>
      <w:r/>
    </w:p>
    <w:p>
      <w:pPr>
        <w:pStyle w:val="908"/>
        <w:jc w:val="center"/>
        <w:rPr>
          <w:color w:val="auto"/>
          <w:highlight w:val="none"/>
        </w:rPr>
        <w:outlineLvl w:val="1"/>
      </w:pPr>
      <w:r>
        <w:rPr>
          <w:color w:val="auto"/>
          <w:highlight w:val="none"/>
        </w:rPr>
      </w:r>
      <w:r/>
    </w:p>
    <w:p>
      <w:pPr>
        <w:pStyle w:val="908"/>
        <w:jc w:val="center"/>
        <w:rPr>
          <w:color w:val="auto"/>
          <w:highlight w:val="none"/>
        </w:rPr>
        <w:outlineLvl w:val="1"/>
      </w:pPr>
      <w:r>
        <w:rPr>
          <w:color w:val="auto"/>
          <w:highlight w:val="none"/>
        </w:rPr>
      </w:r>
      <w:r/>
    </w:p>
    <w:p>
      <w:pPr>
        <w:pStyle w:val="908"/>
        <w:jc w:val="center"/>
        <w:rPr>
          <w:color w:val="auto"/>
          <w:highlight w:val="none"/>
        </w:rPr>
        <w:outlineLvl w:val="1"/>
      </w:pPr>
      <w:r>
        <w:rPr>
          <w:color w:val="auto"/>
          <w:highlight w:val="none"/>
        </w:rPr>
      </w:r>
      <w:r/>
    </w:p>
    <w:p>
      <w:pPr>
        <w:pStyle w:val="908"/>
        <w:jc w:val="center"/>
        <w:rPr>
          <w:color w:val="auto"/>
          <w:highlight w:val="none"/>
        </w:rPr>
        <w:outlineLvl w:val="1"/>
      </w:pPr>
      <w:r>
        <w:rPr>
          <w:color w:val="auto"/>
          <w:highlight w:val="none"/>
        </w:rPr>
      </w:r>
      <w:r/>
    </w:p>
    <w:p>
      <w:pPr>
        <w:pStyle w:val="908"/>
        <w:jc w:val="center"/>
        <w:rPr>
          <w:color w:val="auto"/>
          <w:highlight w:val="none"/>
        </w:rPr>
        <w:outlineLvl w:val="1"/>
      </w:pPr>
      <w:r>
        <w:rPr>
          <w:color w:val="auto"/>
          <w:highlight w:val="none"/>
        </w:rPr>
      </w:r>
      <w:r/>
    </w:p>
    <w:p>
      <w:pPr>
        <w:pStyle w:val="908"/>
        <w:jc w:val="center"/>
        <w:rPr>
          <w:color w:val="auto"/>
          <w:highlight w:val="none"/>
        </w:rPr>
        <w:outlineLvl w:val="1"/>
      </w:pPr>
      <w:r>
        <w:rPr>
          <w:color w:val="auto"/>
          <w:highlight w:val="none"/>
        </w:rPr>
      </w:r>
      <w:r/>
    </w:p>
    <w:p>
      <w:pPr>
        <w:pStyle w:val="908"/>
        <w:jc w:val="center"/>
        <w:rPr>
          <w:color w:val="auto"/>
          <w:highlight w:val="none"/>
        </w:rPr>
        <w:outlineLvl w:val="1"/>
      </w:pPr>
      <w:r>
        <w:rPr>
          <w:color w:val="auto"/>
          <w:highlight w:val="none"/>
        </w:rPr>
      </w:r>
      <w:r/>
    </w:p>
    <w:p>
      <w:pPr>
        <w:pStyle w:val="908"/>
        <w:jc w:val="center"/>
        <w:rPr>
          <w:color w:val="auto"/>
          <w:highlight w:val="none"/>
        </w:rPr>
        <w:outlineLvl w:val="1"/>
      </w:pPr>
      <w:r>
        <w:rPr>
          <w:color w:val="auto"/>
          <w:highlight w:val="none"/>
        </w:rPr>
      </w:r>
      <w:r/>
    </w:p>
    <w:p>
      <w:pPr>
        <w:pStyle w:val="908"/>
        <w:jc w:val="center"/>
        <w:rPr>
          <w:color w:val="auto"/>
          <w:highlight w:val="none"/>
        </w:rPr>
        <w:outlineLvl w:val="1"/>
      </w:pPr>
      <w:r>
        <w:rPr>
          <w:color w:val="auto"/>
          <w:highlight w:val="none"/>
        </w:rPr>
      </w:r>
      <w:r/>
    </w:p>
    <w:p>
      <w:pPr>
        <w:pStyle w:val="908"/>
        <w:jc w:val="center"/>
        <w:rPr>
          <w:color w:val="auto"/>
          <w:highlight w:val="none"/>
        </w:rPr>
        <w:outlineLvl w:val="1"/>
      </w:pPr>
      <w:r>
        <w:rPr>
          <w:color w:val="auto"/>
          <w:highlight w:val="none"/>
        </w:rPr>
      </w:r>
      <w:r/>
    </w:p>
    <w:p>
      <w:pPr>
        <w:pStyle w:val="908"/>
        <w:jc w:val="center"/>
        <w:rPr>
          <w:color w:val="auto"/>
          <w:highlight w:val="none"/>
        </w:rPr>
        <w:outlineLvl w:val="1"/>
      </w:pPr>
      <w:r>
        <w:rPr>
          <w:color w:val="auto"/>
          <w:highlight w:val="none"/>
        </w:rPr>
      </w:r>
      <w:r/>
    </w:p>
    <w:p>
      <w:pPr>
        <w:pStyle w:val="908"/>
        <w:jc w:val="center"/>
        <w:rPr>
          <w:color w:val="auto"/>
          <w:highlight w:val="none"/>
        </w:rPr>
        <w:outlineLvl w:val="1"/>
      </w:pPr>
      <w:r>
        <w:rPr>
          <w:color w:val="auto"/>
          <w:highlight w:val="none"/>
        </w:rPr>
      </w:r>
      <w:r/>
    </w:p>
    <w:p>
      <w:pPr>
        <w:pStyle w:val="908"/>
        <w:jc w:val="center"/>
        <w:rPr>
          <w:color w:val="auto"/>
          <w:highlight w:val="none"/>
        </w:rPr>
        <w:outlineLvl w:val="1"/>
      </w:pPr>
      <w:r>
        <w:rPr>
          <w:color w:val="auto"/>
          <w:highlight w:val="none"/>
        </w:rPr>
      </w:r>
      <w:r/>
    </w:p>
    <w:p>
      <w:pPr>
        <w:pStyle w:val="908"/>
        <w:jc w:val="center"/>
        <w:rPr>
          <w:color w:val="auto"/>
          <w:highlight w:val="none"/>
        </w:rPr>
        <w:outlineLvl w:val="1"/>
      </w:pPr>
      <w:r>
        <w:rPr>
          <w:color w:val="auto"/>
          <w:highlight w:val="none"/>
        </w:rPr>
      </w:r>
      <w:r/>
    </w:p>
    <w:p>
      <w:pPr>
        <w:pStyle w:val="908"/>
        <w:jc w:val="center"/>
        <w:rPr>
          <w:color w:val="auto"/>
          <w:highlight w:val="none"/>
        </w:rPr>
        <w:outlineLvl w:val="1"/>
      </w:pPr>
      <w:r>
        <w:rPr>
          <w:color w:val="auto"/>
          <w:highlight w:val="none"/>
        </w:rPr>
      </w:r>
      <w:r/>
    </w:p>
    <w:p>
      <w:pPr>
        <w:ind w:firstLine="482"/>
        <w:jc w:val="center"/>
        <w:widowControl/>
        <w:rPr>
          <w:rFonts w:ascii="宋体" w:hAnsi="宋体" w:cs="宋体"/>
          <w:b/>
          <w:bCs/>
          <w:color w:val="auto"/>
          <w:sz w:val="24"/>
          <w:szCs w:val="24"/>
          <w:highlight w:val="none"/>
        </w:rPr>
        <w:outlineLvl w:val="1"/>
      </w:pPr>
      <w:r>
        <w:rPr>
          <w:rFonts w:ascii="宋体" w:hAnsi="宋体" w:cs="宋体"/>
          <w:b/>
          <w:bCs/>
          <w:color w:val="auto"/>
          <w:sz w:val="24"/>
          <w:szCs w:val="24"/>
          <w:highlight w:val="none"/>
        </w:rPr>
      </w:r>
      <w:r/>
    </w:p>
    <w:p>
      <w:pPr>
        <w:ind w:firstLine="482"/>
        <w:jc w:val="center"/>
        <w:widowControl/>
        <w:rPr>
          <w:rFonts w:ascii="宋体" w:hAnsi="宋体" w:cs="宋体"/>
          <w:b/>
          <w:color w:val="auto"/>
          <w:sz w:val="24"/>
          <w:szCs w:val="24"/>
          <w:highlight w:val="none"/>
        </w:rPr>
        <w:outlineLvl w:val="1"/>
      </w:pPr>
      <w:r/>
      <w:bookmarkStart w:id="104" w:name="_Toc68"/>
      <w:r/>
      <w:r/>
    </w:p>
    <w:p>
      <w:pPr>
        <w:ind w:firstLine="482"/>
        <w:jc w:val="center"/>
        <w:widowControl/>
        <w:rPr>
          <w:rFonts w:ascii="宋体" w:hAnsi="宋体" w:cs="宋体"/>
          <w:b/>
          <w:color w:val="auto"/>
          <w:sz w:val="24"/>
          <w:szCs w:val="24"/>
          <w:highlight w:val="none"/>
        </w:rPr>
        <w:outlineLvl w:val="1"/>
      </w:pPr>
      <w:r>
        <w:rPr>
          <w:rFonts w:ascii="宋体" w:hAnsi="宋体" w:cs="宋体"/>
          <w:b/>
          <w:color w:val="auto"/>
          <w:sz w:val="24"/>
          <w:szCs w:val="24"/>
          <w:highlight w:val="none"/>
        </w:rPr>
      </w:r>
      <w:r/>
    </w:p>
    <w:p>
      <w:pPr>
        <w:ind w:firstLine="482"/>
        <w:jc w:val="center"/>
        <w:widowControl/>
        <w:rPr>
          <w:color w:val="auto"/>
          <w:highlight w:val="none"/>
        </w:rPr>
        <w:outlineLvl w:val="1"/>
      </w:pPr>
      <w:r>
        <w:rPr>
          <w:rFonts w:hint="eastAsia" w:ascii="宋体" w:hAnsi="宋体" w:cs="宋体"/>
          <w:b/>
          <w:color w:val="auto"/>
          <w:sz w:val="24"/>
          <w:szCs w:val="24"/>
          <w:highlight w:val="none"/>
        </w:rPr>
        <w:t xml:space="preserve">(三)法定代表人（负责人）身份证明书</w:t>
      </w:r>
      <w:bookmarkEnd w:id="104"/>
      <w:r/>
      <w:r/>
    </w:p>
    <w:p>
      <w:pPr>
        <w:pStyle w:val="931"/>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pStyle w:val="931"/>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兹证明</w:t>
      </w:r>
      <w:r>
        <w:rPr>
          <w:rFonts w:hint="eastAsia" w:ascii="宋体" w:hAnsi="宋体"/>
          <w:color w:val="auto"/>
          <w:sz w:val="24"/>
          <w:szCs w:val="24"/>
          <w:highlight w:val="none"/>
          <w:u w:val="single"/>
        </w:rPr>
        <w:t xml:space="preserve"> （姓名） </w:t>
      </w:r>
      <w:r>
        <w:rPr>
          <w:rFonts w:hint="eastAsia" w:ascii="宋体" w:hAnsi="宋体"/>
          <w:color w:val="auto"/>
          <w:sz w:val="24"/>
          <w:szCs w:val="24"/>
          <w:highlight w:val="none"/>
        </w:rPr>
        <w:t xml:space="preserve">同志，性别</w:t>
      </w:r>
      <w:r>
        <w:rPr>
          <w:rFonts w:hint="eastAsia" w:ascii="宋体" w:hAnsi="宋体"/>
          <w:color w:val="auto"/>
          <w:sz w:val="24"/>
          <w:szCs w:val="24"/>
          <w:highlight w:val="none"/>
          <w:u w:val="single"/>
        </w:rPr>
        <w:t xml:space="preserve"> （男/女） </w:t>
      </w:r>
      <w:r>
        <w:rPr>
          <w:rFonts w:hint="eastAsia" w:ascii="宋体" w:hAnsi="宋体"/>
          <w:color w:val="auto"/>
          <w:sz w:val="24"/>
          <w:szCs w:val="24"/>
          <w:highlight w:val="none"/>
        </w:rPr>
        <w:t xml:space="preserve">，居民身份证号</w:t>
      </w:r>
      <w:r>
        <w:rPr>
          <w:rFonts w:hint="eastAsia" w:ascii="宋体" w:hAnsi="宋体"/>
          <w:color w:val="auto"/>
          <w:sz w:val="24"/>
          <w:szCs w:val="24"/>
          <w:highlight w:val="none"/>
          <w:u w:val="single"/>
        </w:rPr>
        <w:t xml:space="preserve"> （身份证号码） </w:t>
      </w:r>
      <w:r>
        <w:rPr>
          <w:rFonts w:hint="eastAsia" w:ascii="宋体" w:hAnsi="宋体"/>
          <w:color w:val="auto"/>
          <w:sz w:val="24"/>
          <w:szCs w:val="24"/>
          <w:highlight w:val="none"/>
        </w:rPr>
        <w:t xml:space="preserve">，在我单位任</w:t>
      </w:r>
      <w:r>
        <w:rPr>
          <w:rFonts w:hint="eastAsia" w:ascii="宋体" w:hAnsi="宋体"/>
          <w:color w:val="auto"/>
          <w:sz w:val="24"/>
          <w:szCs w:val="24"/>
          <w:highlight w:val="none"/>
          <w:u w:val="single"/>
        </w:rPr>
        <w:t xml:space="preserve"> （职务） </w:t>
      </w:r>
      <w:r>
        <w:rPr>
          <w:rFonts w:hint="eastAsia" w:ascii="宋体" w:hAnsi="宋体"/>
          <w:color w:val="auto"/>
          <w:sz w:val="24"/>
          <w:szCs w:val="24"/>
          <w:highlight w:val="none"/>
        </w:rPr>
        <w:t xml:space="preserve">，系我单位主要负责人即法定代表人。</w:t>
      </w:r>
      <w:r/>
    </w:p>
    <w:p>
      <w:pPr>
        <w:pStyle w:val="931"/>
        <w:spacing w:line="360" w:lineRule="auto"/>
        <w:rPr>
          <w:rFonts w:ascii="宋体" w:hAnsi="宋体"/>
          <w:color w:val="auto"/>
          <w:sz w:val="24"/>
          <w:szCs w:val="24"/>
          <w:highlight w:val="none"/>
        </w:rPr>
      </w:pPr>
      <w:r>
        <w:rPr>
          <w:rFonts w:ascii="宋体" w:hAnsi="宋体"/>
          <w:color w:val="auto"/>
          <w:sz w:val="24"/>
          <w:szCs w:val="24"/>
          <w:highlight w:val="none"/>
        </w:rPr>
      </w:r>
      <w:r/>
    </w:p>
    <w:p>
      <w:pPr>
        <w:pStyle w:val="931"/>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单位地址：</w:t>
      </w:r>
      <w:r>
        <w:rPr>
          <w:rFonts w:hint="eastAsia" w:ascii="宋体" w:hAnsi="宋体"/>
          <w:b/>
          <w:color w:val="auto"/>
          <w:sz w:val="24"/>
          <w:szCs w:val="24"/>
          <w:highlight w:val="none"/>
          <w:u w:val="single"/>
        </w:rPr>
        <w:t xml:space="preserve">××</w:t>
      </w:r>
      <w:r/>
    </w:p>
    <w:p>
      <w:pPr>
        <w:pStyle w:val="931"/>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pStyle w:val="931"/>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电    话：</w:t>
      </w:r>
      <w:r>
        <w:rPr>
          <w:rFonts w:hint="eastAsia" w:ascii="宋体" w:hAnsi="宋体"/>
          <w:b/>
          <w:color w:val="auto"/>
          <w:sz w:val="24"/>
          <w:szCs w:val="24"/>
          <w:highlight w:val="none"/>
          <w:u w:val="single"/>
        </w:rPr>
        <w:t xml:space="preserve">××</w:t>
      </w:r>
      <w:r/>
    </w:p>
    <w:p>
      <w:pPr>
        <w:pStyle w:val="931"/>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pStyle w:val="931"/>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单位全称：</w:t>
      </w:r>
      <w:r>
        <w:rPr>
          <w:rFonts w:hint="eastAsia" w:ascii="宋体" w:hAnsi="宋体"/>
          <w:b/>
          <w:color w:val="auto"/>
          <w:sz w:val="24"/>
          <w:szCs w:val="24"/>
          <w:highlight w:val="none"/>
          <w:u w:val="single"/>
        </w:rPr>
        <w:t xml:space="preserve">××</w:t>
      </w:r>
      <w:r/>
    </w:p>
    <w:p>
      <w:pPr>
        <w:pStyle w:val="931"/>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pStyle w:val="931"/>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单位盖章：</w:t>
      </w:r>
      <w:r>
        <w:rPr>
          <w:rFonts w:hint="eastAsia" w:ascii="宋体" w:hAnsi="宋体"/>
          <w:b/>
          <w:color w:val="auto"/>
          <w:sz w:val="24"/>
          <w:szCs w:val="24"/>
          <w:highlight w:val="none"/>
          <w:u w:val="single"/>
        </w:rPr>
        <w:t xml:space="preserve">××</w:t>
      </w:r>
      <w:r/>
    </w:p>
    <w:p>
      <w:pPr>
        <w:pStyle w:val="931"/>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p>
      <w:pPr>
        <w:pStyle w:val="931"/>
        <w:ind w:firstLine="480"/>
        <w:jc w:val="right"/>
        <w:spacing w:line="360" w:lineRule="auto"/>
        <w:rPr>
          <w:rFonts w:ascii="宋体" w:hAnsi="宋体"/>
          <w:color w:val="auto"/>
          <w:sz w:val="24"/>
          <w:szCs w:val="24"/>
          <w:highlight w:val="none"/>
        </w:rPr>
      </w:pPr>
      <w:r>
        <w:rPr>
          <w:rFonts w:ascii="宋体" w:hAnsi="宋体"/>
          <w:color w:val="auto"/>
          <w:sz w:val="24"/>
          <w:szCs w:val="24"/>
          <w:highlight w:val="none"/>
        </w:rPr>
      </w:r>
      <w:r/>
    </w:p>
    <w:p>
      <w:pPr>
        <w:pStyle w:val="931"/>
        <w:ind w:firstLine="480"/>
        <w:spacing w:line="360" w:lineRule="auto"/>
        <w:tabs>
          <w:tab w:val="left" w:pos="7290" w:leader="none"/>
        </w:tabs>
        <w:rPr>
          <w:rFonts w:ascii="宋体" w:hAnsi="宋体"/>
          <w:color w:val="auto"/>
          <w:sz w:val="24"/>
          <w:szCs w:val="24"/>
          <w:highlight w:val="none"/>
        </w:rPr>
      </w:pPr>
      <w:r>
        <w:rPr>
          <w:rFonts w:hint="eastAsia" w:ascii="宋体" w:hAnsi="宋体"/>
          <w:color w:val="auto"/>
          <w:sz w:val="24"/>
          <w:szCs w:val="24"/>
          <w:highlight w:val="none"/>
        </w:rPr>
        <w:t xml:space="preserve">                                 年     月    日</w:t>
      </w:r>
      <w:r/>
    </w:p>
    <w:p>
      <w:pPr>
        <w:pStyle w:val="931"/>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pStyle w:val="931"/>
        <w:ind w:firstLine="47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附：法定代表人居民身份证扫描件</w:t>
      </w:r>
      <w:r/>
    </w:p>
    <w:p>
      <w:pPr>
        <w:pStyle w:val="931"/>
        <w:spacing w:line="360" w:lineRule="auto"/>
        <w:tabs>
          <w:tab w:val="left" w:pos="7290" w:leader="none"/>
        </w:tabs>
        <w:rPr>
          <w:rFonts w:ascii="宋体" w:hAnsi="宋体"/>
          <w:color w:val="auto"/>
          <w:sz w:val="24"/>
          <w:szCs w:val="24"/>
          <w:highlight w:val="none"/>
        </w:rPr>
      </w:pPr>
      <w:r>
        <w:rPr>
          <w:rFonts w:hint="eastAsia" w:ascii="宋体" w:hAnsi="宋体"/>
          <w:color w:val="auto"/>
          <w:sz w:val="24"/>
          <w:szCs w:val="24"/>
          <w:highlight w:val="none"/>
          <w:u w:val="single"/>
        </w:rPr>
        <w:t xml:space="preserve">注：1.“法定代表人”直接参加磋商响应活动的仅需填写本身份证明</w:t>
      </w:r>
      <w:r>
        <w:rPr>
          <w:rFonts w:hint="eastAsia" w:ascii="宋体" w:hAnsi="宋体"/>
          <w:color w:val="auto"/>
          <w:sz w:val="24"/>
          <w:szCs w:val="24"/>
          <w:highlight w:val="none"/>
        </w:rPr>
        <w:t xml:space="preserve">。</w:t>
      </w:r>
      <w:r/>
    </w:p>
    <w:p>
      <w:pPr>
        <w:pStyle w:val="931"/>
        <w:ind w:firstLine="480"/>
        <w:spacing w:line="360" w:lineRule="auto"/>
        <w:tabs>
          <w:tab w:val="left" w:pos="7290" w:leader="none"/>
        </w:tabs>
        <w:rPr>
          <w:rFonts w:ascii="宋体" w:hAnsi="宋体"/>
          <w:b/>
          <w:color w:val="auto"/>
          <w:sz w:val="28"/>
          <w:szCs w:val="28"/>
          <w:highlight w:val="none"/>
          <w:u w:val="single"/>
        </w:rPr>
      </w:pPr>
      <w:r>
        <w:rPr>
          <w:rFonts w:hint="eastAsia" w:ascii="宋体" w:hAnsi="宋体"/>
          <w:color w:val="auto"/>
          <w:sz w:val="24"/>
          <w:szCs w:val="24"/>
          <w:highlight w:val="none"/>
          <w:u w:val="single"/>
        </w:rPr>
        <w:t xml:space="preserve">2.</w:t>
      </w:r>
      <w:r>
        <w:rPr>
          <w:rFonts w:hint="eastAsia" w:ascii="宋体" w:hAnsi="宋体"/>
          <w:b/>
          <w:color w:val="auto"/>
          <w:sz w:val="24"/>
          <w:szCs w:val="24"/>
          <w:highlight w:val="none"/>
          <w:u w:val="single"/>
        </w:rPr>
        <w:t xml:space="preserve">供应商</w:t>
      </w:r>
      <w:r>
        <w:rPr>
          <w:rFonts w:ascii="宋体" w:hAnsi="宋体"/>
          <w:b/>
          <w:color w:val="auto"/>
          <w:sz w:val="24"/>
          <w:szCs w:val="24"/>
          <w:highlight w:val="none"/>
          <w:u w:val="single"/>
        </w:rPr>
        <w:t xml:space="preserve">属于非法人组织的，按照法律、行政法规规定能够对外代表其从事民事活动的主要负责人，如个人独资企业的投资人，代表合伙企业执行合伙企业事务的合伙人等，视同法定代表人。</w:t>
      </w:r>
      <w:r/>
    </w:p>
    <w:p>
      <w:pPr>
        <w:pStyle w:val="932"/>
        <w:jc w:val="center"/>
        <w:rPr>
          <w:rFonts w:ascii="宋体" w:hAnsi="宋体" w:eastAsia="宋体" w:cs="宋体"/>
          <w:b/>
          <w:color w:val="auto"/>
          <w:highlight w:val="none"/>
        </w:rPr>
        <w:outlineLvl w:val="2"/>
      </w:pPr>
      <w:r/>
      <w:bookmarkStart w:id="105" w:name="_Toc69"/>
      <w:r>
        <w:rPr>
          <w:color w:val="auto"/>
          <w:highlight w:val="none"/>
        </w:rPr>
        <w:br w:type="page" w:clear="all"/>
      </w:r>
      <w:r>
        <w:rPr>
          <w:rFonts w:hint="eastAsia" w:ascii="宋体" w:hAnsi="宋体" w:eastAsia="宋体" w:cs="宋体"/>
          <w:b/>
          <w:color w:val="auto"/>
          <w:highlight w:val="none"/>
        </w:rPr>
        <w:t xml:space="preserve">(四)法定代表人（负责人）授权委托书</w:t>
      </w:r>
      <w:bookmarkEnd w:id="105"/>
      <w:r/>
      <w:r/>
    </w:p>
    <w:p>
      <w:pPr>
        <w:pStyle w:val="856"/>
        <w:ind w:right="420"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pStyle w:val="856"/>
        <w:ind w:right="42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本授权书声明：</w:t>
      </w:r>
      <w:r>
        <w:rPr>
          <w:rFonts w:hint="eastAsia" w:ascii="宋体" w:hAnsi="宋体"/>
          <w:color w:val="auto"/>
          <w:sz w:val="24"/>
          <w:szCs w:val="24"/>
          <w:highlight w:val="none"/>
          <w:u w:val="single"/>
        </w:rPr>
        <w:t xml:space="preserve"> （供应商名称） </w:t>
      </w:r>
      <w:r>
        <w:rPr>
          <w:rFonts w:hint="eastAsia" w:ascii="宋体" w:hAnsi="宋体"/>
          <w:color w:val="auto"/>
          <w:sz w:val="24"/>
          <w:szCs w:val="24"/>
          <w:highlight w:val="none"/>
        </w:rPr>
        <w:t xml:space="preserve">法定代表人（负责人）</w:t>
      </w:r>
      <w:r>
        <w:rPr>
          <w:rFonts w:hint="eastAsia" w:ascii="宋体" w:hAnsi="宋体"/>
          <w:color w:val="auto"/>
          <w:sz w:val="24"/>
          <w:szCs w:val="24"/>
          <w:highlight w:val="none"/>
          <w:u w:val="single"/>
        </w:rPr>
        <w:t xml:space="preserve"> （姓名） </w:t>
      </w:r>
      <w:r>
        <w:rPr>
          <w:rFonts w:hint="eastAsia" w:ascii="宋体" w:hAnsi="宋体"/>
          <w:color w:val="auto"/>
          <w:sz w:val="24"/>
          <w:szCs w:val="24"/>
          <w:highlight w:val="none"/>
        </w:rPr>
        <w:t xml:space="preserve">授权</w:t>
      </w:r>
      <w:r>
        <w:rPr>
          <w:rFonts w:hint="eastAsia" w:ascii="宋体" w:hAnsi="宋体"/>
          <w:color w:val="auto"/>
          <w:sz w:val="24"/>
          <w:szCs w:val="24"/>
          <w:highlight w:val="none"/>
          <w:u w:val="single"/>
        </w:rPr>
        <w:t xml:space="preserve">（委托代理人的姓名、职务）</w:t>
      </w:r>
      <w:r>
        <w:rPr>
          <w:rFonts w:hint="eastAsia" w:ascii="宋体" w:hAnsi="宋体"/>
          <w:color w:val="auto"/>
          <w:sz w:val="24"/>
          <w:szCs w:val="24"/>
          <w:highlight w:val="none"/>
        </w:rPr>
        <w:t xml:space="preserve">为我方就</w:t>
      </w:r>
      <w:r>
        <w:rPr>
          <w:rFonts w:hint="eastAsia" w:ascii="宋体" w:hAnsi="宋体"/>
          <w:color w:val="auto"/>
          <w:sz w:val="24"/>
          <w:szCs w:val="24"/>
          <w:highlight w:val="none"/>
          <w:u w:val="single"/>
        </w:rPr>
        <w:t xml:space="preserve">××××（代理机构）代理的××××（项目编号、项目名称）</w:t>
      </w:r>
      <w:r>
        <w:rPr>
          <w:rFonts w:hint="eastAsia" w:ascii="宋体" w:hAnsi="宋体"/>
          <w:bCs/>
          <w:color w:val="auto"/>
          <w:sz w:val="24"/>
          <w:szCs w:val="24"/>
          <w:highlight w:val="none"/>
        </w:rPr>
        <w:t xml:space="preserve">项目</w:t>
      </w:r>
      <w:r>
        <w:rPr>
          <w:rFonts w:hint="eastAsia" w:ascii="宋体" w:hAnsi="宋体"/>
          <w:color w:val="auto"/>
          <w:sz w:val="24"/>
          <w:szCs w:val="24"/>
          <w:highlight w:val="none"/>
        </w:rPr>
        <w:t xml:space="preserve">的磋商活动的合法代理人，以本单位名义全权处理一切与该项目磋商有关的事务（含合同签订）。</w:t>
      </w:r>
      <w:r/>
    </w:p>
    <w:p>
      <w:pPr>
        <w:pStyle w:val="856"/>
        <w:ind w:firstLine="480"/>
        <w:spacing w:line="360" w:lineRule="auto"/>
        <w:tabs>
          <w:tab w:val="left" w:pos="5560" w:leader="none"/>
        </w:tabs>
        <w:rPr>
          <w:rFonts w:ascii="宋体" w:hAnsi="宋体"/>
          <w:color w:val="auto"/>
          <w:sz w:val="24"/>
          <w:szCs w:val="24"/>
          <w:highlight w:val="none"/>
        </w:rPr>
      </w:pPr>
      <w:r>
        <w:rPr>
          <w:rFonts w:hint="eastAsia" w:ascii="宋体" w:hAnsi="宋体"/>
          <w:color w:val="auto"/>
          <w:sz w:val="24"/>
          <w:szCs w:val="24"/>
          <w:highlight w:val="none"/>
        </w:rPr>
        <w:tab/>
      </w:r>
      <w:r/>
    </w:p>
    <w:p>
      <w:pPr>
        <w:pStyle w:val="855"/>
        <w:rPr>
          <w:color w:val="auto"/>
          <w:highlight w:val="none"/>
        </w:rPr>
      </w:pPr>
      <w:r>
        <w:rPr>
          <w:rFonts w:hint="eastAsia" w:ascii="宋体" w:hAnsi="宋体"/>
          <w:color w:val="auto"/>
          <w:highlight w:val="none"/>
        </w:rPr>
        <w:t xml:space="preserve">本授权委托书于</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日在</w:t>
      </w:r>
      <w:r>
        <w:rPr>
          <w:rFonts w:ascii="宋体" w:hAnsi="宋体"/>
          <w:color w:val="auto"/>
          <w:highlight w:val="none"/>
        </w:rPr>
        <w:t xml:space="preserve">相应位置</w:t>
      </w:r>
      <w:r>
        <w:rPr>
          <w:rFonts w:hint="eastAsia" w:ascii="宋体" w:hAnsi="宋体"/>
          <w:color w:val="auto"/>
          <w:highlight w:val="none"/>
        </w:rPr>
        <w:t xml:space="preserve">签字或盖章</w:t>
      </w:r>
      <w:r>
        <w:rPr>
          <w:rFonts w:ascii="宋体" w:hAnsi="宋体"/>
          <w:color w:val="auto"/>
          <w:highlight w:val="none"/>
        </w:rPr>
        <w:t xml:space="preserve">后生效</w:t>
      </w:r>
      <w:r>
        <w:rPr>
          <w:rFonts w:hint="eastAsia" w:ascii="宋体" w:hAnsi="宋体"/>
          <w:color w:val="auto"/>
          <w:highlight w:val="none"/>
        </w:rPr>
        <w:t xml:space="preserve">，特此声明。</w:t>
      </w:r>
      <w:r/>
    </w:p>
    <w:p>
      <w:pPr>
        <w:pStyle w:val="856"/>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委托代理人身份证号码：</w:t>
      </w:r>
      <w:r>
        <w:rPr>
          <w:rFonts w:hint="eastAsia" w:ascii="宋体" w:hAnsi="宋体"/>
          <w:color w:val="auto"/>
          <w:sz w:val="24"/>
          <w:szCs w:val="24"/>
          <w:highlight w:val="none"/>
          <w:u w:val="single"/>
        </w:rPr>
        <w:t xml:space="preserve">                              </w:t>
      </w:r>
      <w:r/>
    </w:p>
    <w:p>
      <w:pPr>
        <w:pStyle w:val="856"/>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委托代理人联系电话：（手机）</w:t>
      </w:r>
      <w:r>
        <w:rPr>
          <w:rFonts w:hint="eastAsia" w:ascii="宋体" w:hAnsi="宋体"/>
          <w:color w:val="auto"/>
          <w:sz w:val="24"/>
          <w:szCs w:val="24"/>
          <w:highlight w:val="none"/>
          <w:u w:val="single"/>
        </w:rPr>
        <w:t xml:space="preserve">                        </w:t>
      </w:r>
      <w:r/>
    </w:p>
    <w:p>
      <w:pPr>
        <w:pStyle w:val="856"/>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法定代表人（负责人）签章：</w:t>
      </w:r>
      <w:r>
        <w:rPr>
          <w:rFonts w:hint="eastAsia" w:ascii="宋体" w:hAnsi="宋体"/>
          <w:color w:val="auto"/>
          <w:sz w:val="24"/>
          <w:szCs w:val="24"/>
          <w:highlight w:val="none"/>
          <w:u w:val="single"/>
        </w:rPr>
        <w:t xml:space="preserve">                      </w:t>
      </w:r>
      <w:r/>
    </w:p>
    <w:p>
      <w:pPr>
        <w:pStyle w:val="856"/>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          </w:t>
      </w:r>
      <w:r/>
    </w:p>
    <w:p>
      <w:pPr>
        <w:pStyle w:val="856"/>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pStyle w:val="856"/>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pStyle w:val="856"/>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pStyle w:val="856"/>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供应商名称（公章）：</w:t>
      </w:r>
      <w:r/>
    </w:p>
    <w:p>
      <w:pPr>
        <w:pStyle w:val="856"/>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日     期：</w:t>
      </w:r>
      <w:r/>
    </w:p>
    <w:p>
      <w:pPr>
        <w:pStyle w:val="856"/>
        <w:ind w:firstLine="482"/>
        <w:spacing w:line="360" w:lineRule="auto"/>
        <w:rPr>
          <w:rFonts w:ascii="宋体" w:hAnsi="宋体"/>
          <w:color w:val="auto"/>
          <w:sz w:val="24"/>
          <w:szCs w:val="24"/>
          <w:highlight w:val="none"/>
          <w:u w:val="single"/>
        </w:rPr>
      </w:pPr>
      <w:r>
        <w:rPr>
          <w:rFonts w:hint="eastAsia" w:ascii="宋体" w:hAnsi="宋体"/>
          <w:b/>
          <w:color w:val="auto"/>
          <w:sz w:val="24"/>
          <w:szCs w:val="24"/>
          <w:highlight w:val="none"/>
        </w:rPr>
        <w:t xml:space="preserve">附：委托代理人居民身份证扫描件</w:t>
      </w:r>
      <w:r/>
    </w:p>
    <w:p>
      <w:pPr>
        <w:pStyle w:val="935"/>
        <w:rPr>
          <w:color w:val="auto"/>
          <w:highlight w:val="none"/>
        </w:rPr>
      </w:pPr>
      <w:r>
        <w:rPr>
          <w:rFonts w:hint="eastAsia" w:ascii="宋体" w:hAnsi="宋体"/>
          <w:color w:val="auto"/>
          <w:highlight w:val="none"/>
        </w:rPr>
        <w:t xml:space="preserve">注：“法定代表人”授权其他人（必须为投标人正式员工，证明材料：劳动合同、近半年内至少一个月社会保险缴纳材料附后）投标的，须填写法定代表人身份证明书和本委托书。</w:t>
      </w:r>
      <w:r/>
    </w:p>
    <w:p>
      <w:pPr>
        <w:pStyle w:val="908"/>
        <w:jc w:val="center"/>
        <w:rPr>
          <w:color w:val="auto"/>
          <w:highlight w:val="none"/>
        </w:rPr>
        <w:outlineLvl w:val="1"/>
      </w:pPr>
      <w:r/>
      <w:bookmarkStart w:id="106" w:name="_Toc70"/>
      <w:r>
        <w:rPr>
          <w:color w:val="auto"/>
          <w:highlight w:val="none"/>
        </w:rPr>
        <w:br w:type="page" w:clear="all"/>
      </w:r>
      <w:r>
        <w:rPr>
          <w:rFonts w:hint="eastAsia" w:ascii="宋体" w:hAnsi="宋体" w:eastAsia="宋体" w:cs="宋体"/>
          <w:color w:val="auto"/>
          <w:sz w:val="32"/>
          <w:highlight w:val="none"/>
        </w:rPr>
        <w:t xml:space="preserve">二</w:t>
      </w:r>
      <w:r>
        <w:rPr>
          <w:rFonts w:ascii="宋体" w:hAnsi="宋体" w:eastAsia="宋体" w:cs="宋体"/>
          <w:color w:val="auto"/>
          <w:sz w:val="32"/>
          <w:highlight w:val="none"/>
        </w:rPr>
        <w:t xml:space="preserve">、资格部分</w:t>
      </w:r>
      <w:bookmarkEnd w:id="106"/>
      <w:r/>
      <w:r/>
    </w:p>
    <w:p>
      <w:pPr>
        <w:pStyle w:val="911"/>
        <w:jc w:val="center"/>
        <w:rPr>
          <w:color w:val="auto"/>
          <w:highlight w:val="none"/>
        </w:rPr>
        <w:outlineLvl w:val="2"/>
      </w:pPr>
      <w:r/>
      <w:bookmarkStart w:id="107" w:name="_Toc71"/>
      <w:r>
        <w:rPr>
          <w:rFonts w:hint="eastAsia" w:ascii="宋体" w:hAnsi="宋体" w:eastAsia="宋体" w:cs="宋体"/>
          <w:color w:val="auto"/>
          <w:sz w:val="28"/>
          <w:highlight w:val="none"/>
        </w:rPr>
        <w:t xml:space="preserve">（一）</w:t>
      </w:r>
      <w:r>
        <w:rPr>
          <w:rFonts w:ascii="宋体" w:hAnsi="宋体" w:eastAsia="宋体" w:cs="宋体"/>
          <w:color w:val="auto"/>
          <w:sz w:val="28"/>
          <w:highlight w:val="none"/>
        </w:rPr>
        <w:t xml:space="preserve">独立承担民事责任的能力</w:t>
      </w:r>
      <w:bookmarkEnd w:id="107"/>
      <w:r/>
      <w:r/>
    </w:p>
    <w:p>
      <w:pPr>
        <w:pStyle w:val="912"/>
        <w:ind w:firstLine="480"/>
        <w:rPr>
          <w:color w:val="auto"/>
          <w:highlight w:val="none"/>
        </w:rPr>
      </w:pPr>
      <w:r>
        <w:rPr>
          <w:rFonts w:hint="eastAsia" w:ascii="宋体" w:hAnsi="宋体" w:cs="宋体"/>
          <w:color w:val="auto"/>
          <w:sz w:val="24"/>
          <w:szCs w:val="24"/>
          <w:highlight w:val="none"/>
        </w:rPr>
        <w:t xml:space="preserve">法人或者其他组织的营业执照等证明文件；供应商为自然人的，提供身份证原件扫描件。</w:t>
      </w:r>
      <w:r/>
    </w:p>
    <w:p>
      <w:pPr>
        <w:pStyle w:val="913"/>
        <w:jc w:val="both"/>
        <w:rPr>
          <w:rFonts w:ascii="宋体" w:hAnsi="宋体" w:eastAsia="宋体" w:cs="宋体"/>
          <w:color w:val="auto"/>
          <w:sz w:val="28"/>
          <w:highlight w:val="none"/>
        </w:rPr>
        <w:outlineLvl w:val="2"/>
      </w:pPr>
      <w:r/>
      <w:bookmarkStart w:id="108" w:name="_Toc72"/>
      <w:r/>
      <w:r/>
    </w:p>
    <w:p>
      <w:pPr>
        <w:pStyle w:val="913"/>
        <w:jc w:val="center"/>
        <w:rPr>
          <w:color w:val="auto"/>
          <w:highlight w:val="none"/>
        </w:rPr>
        <w:outlineLvl w:val="2"/>
      </w:pPr>
      <w:r>
        <w:rPr>
          <w:rFonts w:ascii="宋体" w:hAnsi="宋体" w:eastAsia="宋体" w:cs="宋体"/>
          <w:color w:val="auto"/>
          <w:sz w:val="28"/>
          <w:highlight w:val="none"/>
        </w:rPr>
        <w:t xml:space="preserve">(</w:t>
      </w:r>
      <w:r>
        <w:rPr>
          <w:rFonts w:hint="eastAsia" w:ascii="宋体" w:hAnsi="宋体" w:eastAsia="宋体" w:cs="宋体"/>
          <w:color w:val="auto"/>
          <w:sz w:val="28"/>
          <w:highlight w:val="none"/>
        </w:rPr>
        <w:t xml:space="preserve">二</w:t>
      </w:r>
      <w:r>
        <w:rPr>
          <w:rFonts w:ascii="宋体" w:hAnsi="宋体" w:eastAsia="宋体" w:cs="宋体"/>
          <w:color w:val="auto"/>
          <w:sz w:val="28"/>
          <w:highlight w:val="none"/>
        </w:rPr>
        <w:t xml:space="preserve">)良好的商业信誉和健全的财务会计制度</w:t>
      </w:r>
      <w:bookmarkEnd w:id="108"/>
      <w:r/>
      <w:r/>
    </w:p>
    <w:p>
      <w:pPr>
        <w:pStyle w:val="914"/>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提供资格承诺函或</w:t>
      </w:r>
      <w:r>
        <w:rPr>
          <w:rFonts w:hint="eastAsia" w:ascii="宋体" w:hAnsi="宋体"/>
          <w:color w:val="auto"/>
          <w:sz w:val="24"/>
          <w:szCs w:val="24"/>
          <w:highlight w:val="none"/>
          <w:lang w:eastAsia="zh-CN"/>
        </w:rPr>
        <w:t xml:space="preserve">上一</w:t>
      </w:r>
      <w:r>
        <w:rPr>
          <w:rFonts w:hint="eastAsia" w:ascii="宋体" w:hAnsi="宋体"/>
          <w:color w:val="auto"/>
          <w:sz w:val="24"/>
          <w:szCs w:val="24"/>
          <w:highlight w:val="none"/>
        </w:rPr>
        <w:t xml:space="preserve">年度财务报告（成立不满一年的提供至少一个月），或银行出具的资信证明，或财政部门认可的政府采购专业担保机构出具的磋商担保函等。</w:t>
      </w:r>
      <w:r/>
    </w:p>
    <w:p>
      <w:pPr>
        <w:pStyle w:val="915"/>
        <w:jc w:val="both"/>
        <w:rPr>
          <w:color w:val="auto"/>
          <w:highlight w:val="none"/>
        </w:rPr>
        <w:outlineLvl w:val="2"/>
      </w:pPr>
      <w:r>
        <w:rPr>
          <w:color w:val="auto"/>
          <w:highlight w:val="none"/>
        </w:rPr>
      </w:r>
      <w:r/>
    </w:p>
    <w:p>
      <w:pPr>
        <w:pStyle w:val="915"/>
        <w:jc w:val="center"/>
        <w:rPr>
          <w:color w:val="auto"/>
          <w:highlight w:val="none"/>
        </w:rPr>
        <w:outlineLvl w:val="2"/>
      </w:pPr>
      <w:r>
        <w:rPr>
          <w:color w:val="auto"/>
          <w:highlight w:val="none"/>
        </w:rPr>
      </w:r>
      <w:r/>
    </w:p>
    <w:p>
      <w:pPr>
        <w:pStyle w:val="925"/>
        <w:jc w:val="center"/>
        <w:rPr>
          <w:color w:val="auto"/>
          <w:highlight w:val="none"/>
        </w:rPr>
        <w:outlineLvl w:val="2"/>
      </w:pPr>
      <w:r/>
      <w:bookmarkStart w:id="109" w:name="_Toc73"/>
      <w:r>
        <w:rPr>
          <w:rFonts w:ascii="宋体" w:hAnsi="宋体" w:eastAsia="宋体" w:cs="宋体"/>
          <w:color w:val="auto"/>
          <w:sz w:val="28"/>
          <w:highlight w:val="none"/>
        </w:rPr>
        <w:t xml:space="preserve">(</w:t>
      </w:r>
      <w:r>
        <w:rPr>
          <w:rFonts w:hint="eastAsia" w:ascii="宋体" w:hAnsi="宋体" w:eastAsia="宋体" w:cs="宋体"/>
          <w:color w:val="auto"/>
          <w:sz w:val="28"/>
          <w:highlight w:val="none"/>
        </w:rPr>
        <w:t xml:space="preserve">三</w:t>
      </w:r>
      <w:r>
        <w:rPr>
          <w:rFonts w:ascii="宋体" w:hAnsi="宋体" w:eastAsia="宋体" w:cs="宋体"/>
          <w:color w:val="auto"/>
          <w:sz w:val="28"/>
          <w:highlight w:val="none"/>
        </w:rPr>
        <w:t xml:space="preserve">)依法缴纳税收和社会保障资金的良好记录</w:t>
      </w:r>
      <w:bookmarkEnd w:id="109"/>
      <w:r/>
      <w:r/>
    </w:p>
    <w:p>
      <w:pPr>
        <w:pStyle w:val="917"/>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提供资格承诺函或参加本次政府采购活动前半年内（至少一个月）依法缴纳税收和社会保险资金的相关材料。</w:t>
      </w:r>
      <w:r/>
    </w:p>
    <w:p>
      <w:pPr>
        <w:pStyle w:val="917"/>
        <w:ind w:firstLine="480"/>
        <w:rPr>
          <w:rFonts w:ascii="宋体" w:hAnsi="宋体" w:cs="宋体"/>
          <w:color w:val="auto"/>
          <w:sz w:val="24"/>
          <w:szCs w:val="24"/>
          <w:highlight w:val="none"/>
        </w:rPr>
      </w:pPr>
      <w:r>
        <w:rPr>
          <w:rFonts w:ascii="宋体" w:hAnsi="宋体" w:cs="宋体"/>
          <w:color w:val="auto"/>
          <w:sz w:val="24"/>
          <w:szCs w:val="24"/>
          <w:highlight w:val="none"/>
        </w:rPr>
      </w:r>
      <w:r/>
    </w:p>
    <w:p>
      <w:pPr>
        <w:pStyle w:val="915"/>
        <w:jc w:val="center"/>
        <w:rPr>
          <w:color w:val="auto"/>
          <w:highlight w:val="none"/>
        </w:rPr>
        <w:outlineLvl w:val="2"/>
      </w:pPr>
      <w:r>
        <w:rPr>
          <w:color w:val="auto"/>
          <w:highlight w:val="none"/>
        </w:rPr>
      </w:r>
      <w:r/>
    </w:p>
    <w:p>
      <w:pPr>
        <w:pStyle w:val="915"/>
        <w:jc w:val="center"/>
        <w:rPr>
          <w:color w:val="auto"/>
          <w:highlight w:val="none"/>
        </w:rPr>
        <w:outlineLvl w:val="2"/>
      </w:pPr>
      <w:r/>
      <w:bookmarkStart w:id="110" w:name="_Toc74"/>
      <w:r>
        <w:rPr>
          <w:rFonts w:ascii="宋体" w:hAnsi="宋体" w:eastAsia="宋体" w:cs="宋体"/>
          <w:color w:val="auto"/>
          <w:sz w:val="28"/>
          <w:highlight w:val="none"/>
        </w:rPr>
        <w:t xml:space="preserve">(四)履行合同所必需的设备和专业技术能力</w:t>
      </w:r>
      <w:bookmarkEnd w:id="110"/>
      <w:r/>
      <w:r/>
    </w:p>
    <w:p>
      <w:pPr>
        <w:pStyle w:val="916"/>
        <w:spacing w:line="360" w:lineRule="auto"/>
        <w:rPr>
          <w:rFonts w:ascii="宋体" w:hAnsi="宋体"/>
          <w:color w:val="auto"/>
          <w:sz w:val="24"/>
          <w:highlight w:val="none"/>
          <w:u w:val="single"/>
        </w:rPr>
      </w:pPr>
      <w:r>
        <w:rPr>
          <w:rFonts w:ascii="宋体" w:hAnsi="宋体"/>
          <w:color w:val="auto"/>
          <w:sz w:val="24"/>
          <w:highlight w:val="none"/>
          <w:u w:val="single"/>
        </w:rPr>
      </w:r>
      <w:r/>
    </w:p>
    <w:p>
      <w:pPr>
        <w:pStyle w:val="925"/>
        <w:jc w:val="both"/>
        <w:rPr>
          <w:rFonts w:ascii="宋体" w:hAnsi="宋体" w:eastAsia="宋体" w:cs="宋体"/>
          <w:color w:val="auto"/>
          <w:sz w:val="28"/>
          <w:highlight w:val="none"/>
        </w:rPr>
        <w:outlineLvl w:val="2"/>
      </w:pPr>
      <w:r/>
      <w:bookmarkStart w:id="111" w:name="_Toc75"/>
      <w:r>
        <w:rPr>
          <w:rFonts w:ascii="宋体" w:hAnsi="宋体" w:eastAsia="宋体" w:cs="宋体"/>
          <w:color w:val="auto"/>
          <w:sz w:val="28"/>
          <w:highlight w:val="none"/>
        </w:rPr>
        <w:t xml:space="preserve">(五)</w:t>
      </w:r>
      <w:r>
        <w:rPr>
          <w:rFonts w:hint="eastAsia"/>
          <w:color w:val="auto"/>
          <w:highlight w:val="none"/>
        </w:rPr>
        <w:t xml:space="preserve"> </w:t>
      </w:r>
      <w:r>
        <w:rPr>
          <w:rFonts w:hint="eastAsia" w:ascii="宋体" w:hAnsi="宋体" w:eastAsia="宋体" w:cs="宋体"/>
          <w:color w:val="auto"/>
          <w:sz w:val="28"/>
          <w:highlight w:val="none"/>
        </w:rPr>
        <w:t xml:space="preserve">参加政府采购活动前3年内在经营活动中没有重大违法记录的书面声明。</w:t>
      </w:r>
      <w:bookmarkEnd w:id="111"/>
      <w:r/>
      <w:r/>
    </w:p>
    <w:p>
      <w:pPr>
        <w:ind w:firstLine="480"/>
        <w:jc w:val="center"/>
        <w:rPr>
          <w:rFonts w:ascii="宋体" w:hAnsi="宋体"/>
          <w:color w:val="auto"/>
          <w:sz w:val="24"/>
          <w:szCs w:val="24"/>
          <w:highlight w:val="none"/>
        </w:rPr>
      </w:pPr>
      <w:r>
        <w:rPr>
          <w:rFonts w:hint="eastAsia" w:ascii="宋体" w:hAnsi="宋体"/>
          <w:color w:val="auto"/>
          <w:sz w:val="24"/>
          <w:szCs w:val="24"/>
          <w:highlight w:val="none"/>
        </w:rPr>
        <w:t xml:space="preserve">声  明</w:t>
      </w:r>
      <w:r/>
    </w:p>
    <w:p>
      <w:pPr>
        <w:ind w:firstLine="482"/>
        <w:rPr>
          <w:rFonts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26"/>
        <w:jc w:val="center"/>
        <w:rPr>
          <w:color w:val="auto"/>
          <w:highlight w:val="none"/>
        </w:rPr>
        <w:outlineLvl w:val="2"/>
      </w:pPr>
      <w:r>
        <w:rPr>
          <w:color w:val="auto"/>
          <w:highlight w:val="none"/>
        </w:rPr>
      </w:r>
      <w:r/>
    </w:p>
    <w:p>
      <w:pPr>
        <w:rPr>
          <w:rFonts w:ascii="宋体" w:hAnsi="宋体" w:cs="宋体"/>
          <w:color w:val="auto"/>
          <w:sz w:val="28"/>
          <w:highlight w:val="none"/>
        </w:rPr>
      </w:pPr>
      <w:r/>
      <w:bookmarkStart w:id="112" w:name="_Toc76"/>
      <w:r>
        <w:rPr>
          <w:rFonts w:ascii="宋体" w:hAnsi="宋体" w:cs="宋体"/>
          <w:color w:val="auto"/>
          <w:sz w:val="28"/>
          <w:highlight w:val="none"/>
        </w:rPr>
        <w:br w:type="page" w:clear="all"/>
      </w:r>
      <w:r/>
    </w:p>
    <w:p>
      <w:pPr>
        <w:pStyle w:val="926"/>
        <w:jc w:val="center"/>
        <w:rPr>
          <w:color w:val="auto"/>
          <w:highlight w:val="none"/>
        </w:rPr>
        <w:outlineLvl w:val="2"/>
      </w:pPr>
      <w:r>
        <w:rPr>
          <w:rFonts w:ascii="宋体" w:hAnsi="宋体" w:eastAsia="宋体" w:cs="宋体"/>
          <w:color w:val="auto"/>
          <w:sz w:val="28"/>
          <w:highlight w:val="none"/>
        </w:rPr>
        <w:t xml:space="preserve">(六)</w:t>
      </w:r>
      <w:r>
        <w:rPr>
          <w:rFonts w:hint="eastAsia" w:ascii="宋体" w:hAnsi="宋体" w:eastAsia="宋体" w:cs="宋体"/>
          <w:color w:val="auto"/>
          <w:sz w:val="28"/>
          <w:highlight w:val="none"/>
        </w:rPr>
        <w:t xml:space="preserve">资格承诺函</w:t>
      </w:r>
      <w:bookmarkEnd w:id="112"/>
      <w:r/>
      <w:r/>
    </w:p>
    <w:p>
      <w:pPr>
        <w:pStyle w:val="959"/>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致</w:t>
      </w:r>
      <w:r>
        <w:rPr>
          <w:rFonts w:ascii="宋体" w:hAnsi="宋体"/>
          <w:color w:val="auto"/>
          <w:sz w:val="24"/>
          <w:szCs w:val="24"/>
          <w:highlight w:val="none"/>
        </w:rPr>
        <w:t xml:space="preserve">:</w:t>
      </w:r>
      <w:r>
        <w:rPr>
          <w:rFonts w:ascii="宋体" w:hAnsi="宋体"/>
          <w:color w:val="auto"/>
          <w:sz w:val="24"/>
          <w:szCs w:val="24"/>
          <w:highlight w:val="none"/>
          <w:u w:val="single"/>
        </w:rPr>
        <w:t xml:space="preserve">__ (采购人、 采购代理机构)</w:t>
      </w:r>
      <w:r>
        <w:rPr>
          <w:rFonts w:hint="eastAsia" w:ascii="宋体" w:hAnsi="宋体"/>
          <w:color w:val="auto"/>
          <w:sz w:val="24"/>
          <w:szCs w:val="24"/>
          <w:highlight w:val="none"/>
          <w:u w:val="single"/>
        </w:rPr>
        <w:t xml:space="preserve"> </w:t>
      </w:r>
      <w:r/>
    </w:p>
    <w:p>
      <w:pPr>
        <w:pStyle w:val="959"/>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我单位参与</w:t>
      </w:r>
      <w:r>
        <w:rPr>
          <w:rFonts w:ascii="宋体" w:hAnsi="宋体"/>
          <w:color w:val="auto"/>
          <w:sz w:val="24"/>
          <w:szCs w:val="24"/>
          <w:highlight w:val="none"/>
          <w:u w:val="single"/>
        </w:rPr>
        <w:t xml:space="preserve">_ (项目名称)_ (项目编号: </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w:t>
      </w:r>
      <w:r>
        <w:rPr>
          <w:rFonts w:ascii="宋体" w:hAnsi="宋体"/>
          <w:color w:val="auto"/>
          <w:sz w:val="24"/>
          <w:szCs w:val="24"/>
          <w:highlight w:val="none"/>
        </w:rPr>
        <w:t xml:space="preserve">项目的政府</w:t>
      </w:r>
      <w:r>
        <w:rPr>
          <w:rFonts w:hint="eastAsia" w:ascii="宋体" w:hAnsi="宋体"/>
          <w:color w:val="auto"/>
          <w:sz w:val="24"/>
          <w:szCs w:val="24"/>
          <w:highlight w:val="none"/>
        </w:rPr>
        <w:t xml:space="preserve">采购活动，现承诺如下：</w:t>
      </w:r>
      <w:r/>
    </w:p>
    <w:p>
      <w:pPr>
        <w:pStyle w:val="959"/>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1.我方具有良好的商业信誉和健全的财务会计制度。</w:t>
      </w:r>
      <w:r/>
    </w:p>
    <w:p>
      <w:pPr>
        <w:pStyle w:val="959"/>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2.我方具有履行合同所必需的设备和专业技术能力。</w:t>
      </w:r>
      <w:r/>
    </w:p>
    <w:p>
      <w:pPr>
        <w:pStyle w:val="959"/>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3.我方具有依法缴纳税收和社会保障资金的良好记录。</w:t>
      </w:r>
      <w:r/>
    </w:p>
    <w:p>
      <w:pPr>
        <w:pStyle w:val="959"/>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4.我方参加本项目采购活动前三年内，在经营活动中没有</w:t>
      </w:r>
      <w:r>
        <w:rPr>
          <w:rFonts w:hint="eastAsia" w:ascii="宋体" w:hAnsi="宋体"/>
          <w:color w:val="auto"/>
          <w:sz w:val="24"/>
          <w:szCs w:val="24"/>
          <w:highlight w:val="none"/>
        </w:rPr>
        <w:t xml:space="preserve">重大违法记录。</w:t>
      </w:r>
      <w:r/>
    </w:p>
    <w:p>
      <w:pPr>
        <w:pStyle w:val="959"/>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若我单位承诺不实，自愿承担提供虚假材料谋取中标、成交的法律责任。</w:t>
      </w:r>
      <w:r/>
    </w:p>
    <w:p>
      <w:pPr>
        <w:pStyle w:val="959"/>
        <w:spacing w:line="360" w:lineRule="auto"/>
        <w:rPr>
          <w:rFonts w:ascii="宋体" w:hAnsi="宋体"/>
          <w:color w:val="auto"/>
          <w:sz w:val="24"/>
          <w:szCs w:val="24"/>
          <w:highlight w:val="none"/>
        </w:rPr>
      </w:pPr>
      <w:r>
        <w:rPr>
          <w:rFonts w:ascii="宋体" w:hAnsi="宋体"/>
          <w:color w:val="auto"/>
          <w:sz w:val="24"/>
          <w:szCs w:val="24"/>
          <w:highlight w:val="none"/>
        </w:rPr>
      </w:r>
      <w:r/>
    </w:p>
    <w:p>
      <w:pPr>
        <w:pStyle w:val="959"/>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(响应)供应商(全称并盖章)</w:t>
      </w:r>
      <w:r>
        <w:rPr>
          <w:rFonts w:hint="eastAsia" w:ascii="宋体" w:hAnsi="宋体"/>
          <w:color w:val="auto"/>
          <w:sz w:val="24"/>
          <w:szCs w:val="24"/>
          <w:highlight w:val="none"/>
        </w:rPr>
        <w:t xml:space="preserve">：</w:t>
      </w:r>
      <w:r>
        <w:rPr>
          <w:rFonts w:ascii="宋体" w:hAnsi="宋体"/>
          <w:color w:val="auto"/>
          <w:sz w:val="24"/>
          <w:szCs w:val="24"/>
          <w:highlight w:val="none"/>
          <w:u w:val="single"/>
        </w:rPr>
        <w:t xml:space="preserve">___</w:t>
      </w:r>
      <w:r/>
    </w:p>
    <w:p>
      <w:pPr>
        <w:pStyle w:val="959"/>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供应商法定代表人或授权代表</w:t>
      </w:r>
      <w:r>
        <w:rPr>
          <w:rFonts w:ascii="宋体" w:hAnsi="宋体"/>
          <w:color w:val="auto"/>
          <w:sz w:val="24"/>
          <w:szCs w:val="24"/>
          <w:highlight w:val="none"/>
        </w:rPr>
        <w:t xml:space="preserve">(签字或签章)</w:t>
      </w:r>
      <w:r>
        <w:rPr>
          <w:rFonts w:hint="eastAsia" w:ascii="宋体" w:hAnsi="宋体"/>
          <w:color w:val="auto"/>
          <w:sz w:val="24"/>
          <w:szCs w:val="24"/>
          <w:highlight w:val="none"/>
        </w:rPr>
        <w:t xml:space="preserve">：</w:t>
      </w:r>
      <w:r>
        <w:rPr>
          <w:rFonts w:ascii="宋体" w:hAnsi="宋体"/>
          <w:color w:val="auto"/>
          <w:sz w:val="24"/>
          <w:szCs w:val="24"/>
          <w:highlight w:val="none"/>
        </w:rPr>
        <w:t xml:space="preserve">_</w:t>
      </w:r>
      <w:r>
        <w:rPr>
          <w:rFonts w:hint="eastAsia" w:ascii="宋体" w:hAnsi="宋体"/>
          <w:color w:val="auto"/>
          <w:sz w:val="24"/>
          <w:szCs w:val="24"/>
          <w:highlight w:val="none"/>
          <w:u w:val="single"/>
        </w:rPr>
        <w:t xml:space="preserve">  </w:t>
      </w:r>
      <w:r/>
    </w:p>
    <w:p>
      <w:pPr>
        <w:pStyle w:val="959"/>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w:t>
      </w:r>
      <w:r>
        <w:rPr>
          <w:rFonts w:ascii="宋体" w:hAnsi="宋体"/>
          <w:color w:val="auto"/>
          <w:sz w:val="24"/>
          <w:szCs w:val="24"/>
          <w:highlight w:val="none"/>
        </w:rPr>
        <w:t xml:space="preserve">__</w:t>
      </w:r>
      <w:r/>
    </w:p>
    <w:p>
      <w:pPr>
        <w:pStyle w:val="959"/>
        <w:spacing w:line="360" w:lineRule="auto"/>
        <w:rPr>
          <w:rFonts w:ascii="宋体" w:hAnsi="宋体"/>
          <w:color w:val="auto"/>
          <w:sz w:val="24"/>
          <w:szCs w:val="24"/>
          <w:highlight w:val="none"/>
        </w:rPr>
      </w:pPr>
      <w:r>
        <w:rPr>
          <w:rFonts w:ascii="宋体" w:hAnsi="宋体"/>
          <w:color w:val="auto"/>
          <w:sz w:val="24"/>
          <w:szCs w:val="24"/>
          <w:highlight w:val="none"/>
        </w:rPr>
        <w:t xml:space="preserve">……………………………………………………………………………</w:t>
      </w:r>
      <w:r/>
    </w:p>
    <w:p>
      <w:pPr>
        <w:pStyle w:val="959"/>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rPr>
          <w:rFonts w:ascii="宋体" w:hAnsi="宋体"/>
          <w:color w:val="auto"/>
          <w:sz w:val="24"/>
          <w:szCs w:val="24"/>
          <w:highlight w:val="none"/>
        </w:rPr>
        <w:t xml:space="preserve">1.供应商可自行选择是否提供本承诺函，若不提供本承</w:t>
      </w:r>
      <w:r>
        <w:rPr>
          <w:rFonts w:hint="eastAsia" w:ascii="宋体" w:hAnsi="宋体"/>
          <w:color w:val="auto"/>
          <w:sz w:val="24"/>
          <w:szCs w:val="24"/>
          <w:highlight w:val="none"/>
        </w:rPr>
        <w:t xml:space="preserve">诺函的，应按采购文件要求提供相应的证明材料。</w:t>
      </w:r>
      <w:r/>
    </w:p>
    <w:p>
      <w:pPr>
        <w:pStyle w:val="960"/>
        <w:ind w:firstLine="720"/>
        <w:spacing w:line="360" w:lineRule="auto"/>
        <w:rPr>
          <w:color w:val="auto"/>
          <w:sz w:val="24"/>
          <w:szCs w:val="24"/>
          <w:highlight w:val="none"/>
        </w:rPr>
      </w:pPr>
      <w:r>
        <w:rPr>
          <w:rFonts w:ascii="宋体" w:hAnsi="宋体"/>
          <w:color w:val="auto"/>
          <w:sz w:val="24"/>
          <w:szCs w:val="24"/>
          <w:highlight w:val="none"/>
        </w:rPr>
        <w:t xml:space="preserve">2.供应商可删减承诺事项,删减的承诺事项须按采购文件</w:t>
      </w:r>
      <w:r>
        <w:rPr>
          <w:rFonts w:hint="eastAsia" w:ascii="宋体" w:hAnsi="宋体"/>
          <w:color w:val="auto"/>
          <w:sz w:val="24"/>
          <w:szCs w:val="24"/>
          <w:highlight w:val="none"/>
        </w:rPr>
        <w:t xml:space="preserve">要求提供相应的证明材料。比如删去本承诺函第</w:t>
      </w:r>
      <w:r>
        <w:rPr>
          <w:rFonts w:ascii="宋体" w:hAnsi="宋体"/>
          <w:color w:val="auto"/>
          <w:sz w:val="24"/>
          <w:szCs w:val="24"/>
          <w:highlight w:val="none"/>
        </w:rPr>
        <w:t xml:space="preserve">3项的，则应</w:t>
      </w:r>
      <w:r>
        <w:rPr>
          <w:rFonts w:hint="eastAsia" w:ascii="宋体" w:hAnsi="宋体"/>
          <w:color w:val="auto"/>
          <w:sz w:val="24"/>
          <w:szCs w:val="24"/>
          <w:highlight w:val="none"/>
        </w:rPr>
        <w:t xml:space="preserve">按采购文件要求提供依法缴纳税收和社会保障资金的良好记录。</w:t>
      </w:r>
      <w:r/>
    </w:p>
    <w:p>
      <w:pPr>
        <w:pStyle w:val="922"/>
        <w:ind w:firstLine="560"/>
        <w:jc w:val="center"/>
        <w:spacing w:line="400" w:lineRule="exact"/>
        <w:widowControl/>
        <w:rPr>
          <w:rFonts w:ascii="宋体" w:hAnsi="宋体" w:cs="宋体"/>
          <w:color w:val="auto"/>
          <w:sz w:val="28"/>
          <w:highlight w:val="none"/>
        </w:rPr>
      </w:pPr>
      <w:r>
        <w:rPr>
          <w:rFonts w:ascii="宋体" w:hAnsi="宋体" w:cs="宋体"/>
          <w:color w:val="auto"/>
          <w:sz w:val="28"/>
          <w:highlight w:val="none"/>
        </w:rPr>
      </w:r>
      <w:r/>
    </w:p>
    <w:p>
      <w:pPr>
        <w:pStyle w:val="922"/>
        <w:ind w:firstLine="560"/>
        <w:jc w:val="center"/>
        <w:spacing w:line="400" w:lineRule="exact"/>
        <w:widowControl/>
        <w:rPr>
          <w:rFonts w:ascii="宋体" w:hAnsi="宋体" w:cs="宋体"/>
          <w:color w:val="auto"/>
          <w:sz w:val="28"/>
          <w:highlight w:val="none"/>
        </w:rPr>
      </w:pPr>
      <w:r>
        <w:rPr>
          <w:rFonts w:ascii="宋体" w:hAnsi="宋体" w:cs="宋体"/>
          <w:color w:val="auto"/>
          <w:sz w:val="28"/>
          <w:highlight w:val="none"/>
        </w:rPr>
      </w:r>
      <w:r/>
    </w:p>
    <w:p>
      <w:pPr>
        <w:pStyle w:val="922"/>
        <w:spacing w:line="400" w:lineRule="exact"/>
        <w:widowControl/>
        <w:rPr>
          <w:rFonts w:ascii="宋体" w:hAnsi="宋体" w:cs="宋体"/>
          <w:color w:val="auto"/>
          <w:sz w:val="28"/>
          <w:highlight w:val="none"/>
        </w:rPr>
      </w:pPr>
      <w:r>
        <w:rPr>
          <w:rFonts w:ascii="宋体" w:hAnsi="宋体" w:cs="宋体"/>
          <w:color w:val="auto"/>
          <w:sz w:val="28"/>
          <w:highlight w:val="none"/>
        </w:rPr>
      </w:r>
      <w:r/>
    </w:p>
    <w:p>
      <w:pPr>
        <w:pStyle w:val="922"/>
        <w:spacing w:line="400" w:lineRule="exact"/>
        <w:widowControl/>
        <w:rPr>
          <w:rFonts w:ascii="宋体" w:hAnsi="宋体" w:cs="宋体"/>
          <w:color w:val="auto"/>
          <w:sz w:val="28"/>
          <w:highlight w:val="none"/>
        </w:rPr>
      </w:pPr>
      <w:r>
        <w:rPr>
          <w:rFonts w:ascii="宋体" w:hAnsi="宋体" w:cs="宋体"/>
          <w:color w:val="auto"/>
          <w:sz w:val="28"/>
          <w:highlight w:val="none"/>
        </w:rPr>
      </w:r>
      <w:r/>
    </w:p>
    <w:p>
      <w:pPr>
        <w:pStyle w:val="922"/>
        <w:spacing w:line="400" w:lineRule="exact"/>
        <w:widowControl/>
        <w:rPr>
          <w:rFonts w:ascii="宋体" w:hAnsi="宋体" w:cs="宋体"/>
          <w:color w:val="auto"/>
          <w:sz w:val="28"/>
          <w:highlight w:val="none"/>
        </w:rPr>
      </w:pPr>
      <w:r>
        <w:rPr>
          <w:rFonts w:ascii="宋体" w:hAnsi="宋体" w:cs="宋体"/>
          <w:color w:val="auto"/>
          <w:sz w:val="28"/>
          <w:highlight w:val="none"/>
        </w:rPr>
      </w:r>
      <w:r/>
    </w:p>
    <w:p>
      <w:pPr>
        <w:pStyle w:val="922"/>
        <w:spacing w:line="400" w:lineRule="exact"/>
        <w:widowControl/>
        <w:rPr>
          <w:rFonts w:ascii="宋体" w:hAnsi="宋体" w:cs="宋体"/>
          <w:color w:val="auto"/>
          <w:sz w:val="28"/>
          <w:highlight w:val="none"/>
        </w:rPr>
      </w:pPr>
      <w:r>
        <w:rPr>
          <w:rFonts w:ascii="宋体" w:hAnsi="宋体" w:cs="宋体"/>
          <w:color w:val="auto"/>
          <w:sz w:val="28"/>
          <w:highlight w:val="none"/>
        </w:rPr>
      </w:r>
      <w:r/>
    </w:p>
    <w:p>
      <w:pPr>
        <w:pStyle w:val="922"/>
        <w:spacing w:line="400" w:lineRule="exact"/>
        <w:widowControl/>
        <w:rPr>
          <w:rFonts w:ascii="宋体" w:hAnsi="宋体" w:cs="宋体"/>
          <w:color w:val="auto"/>
          <w:sz w:val="28"/>
          <w:highlight w:val="none"/>
        </w:rPr>
      </w:pPr>
      <w:r>
        <w:rPr>
          <w:rFonts w:ascii="宋体" w:hAnsi="宋体" w:cs="宋体"/>
          <w:color w:val="auto"/>
          <w:sz w:val="28"/>
          <w:highlight w:val="none"/>
        </w:rPr>
      </w:r>
      <w:r/>
    </w:p>
    <w:p>
      <w:pPr>
        <w:pStyle w:val="922"/>
        <w:spacing w:line="400" w:lineRule="exact"/>
        <w:widowControl/>
        <w:rPr>
          <w:rFonts w:ascii="宋体" w:hAnsi="宋体" w:cs="宋体"/>
          <w:color w:val="auto"/>
          <w:sz w:val="28"/>
          <w:highlight w:val="none"/>
        </w:rPr>
      </w:pPr>
      <w:r>
        <w:rPr>
          <w:rFonts w:ascii="宋体" w:hAnsi="宋体" w:cs="宋体"/>
          <w:color w:val="auto"/>
          <w:sz w:val="28"/>
          <w:highlight w:val="none"/>
        </w:rPr>
      </w:r>
      <w:r/>
    </w:p>
    <w:p>
      <w:pPr>
        <w:pStyle w:val="922"/>
        <w:spacing w:line="400" w:lineRule="exact"/>
        <w:widowControl/>
        <w:rPr>
          <w:rFonts w:ascii="宋体" w:hAnsi="宋体" w:cs="宋体"/>
          <w:color w:val="auto"/>
          <w:sz w:val="28"/>
          <w:highlight w:val="none"/>
        </w:rPr>
      </w:pPr>
      <w:r>
        <w:rPr>
          <w:rFonts w:ascii="宋体" w:hAnsi="宋体" w:cs="宋体"/>
          <w:color w:val="auto"/>
          <w:sz w:val="28"/>
          <w:highlight w:val="none"/>
        </w:rPr>
      </w:r>
      <w:r/>
    </w:p>
    <w:p>
      <w:pPr>
        <w:pStyle w:val="922"/>
        <w:spacing w:line="400" w:lineRule="exact"/>
        <w:widowControl/>
        <w:rPr>
          <w:rFonts w:ascii="宋体" w:hAnsi="宋体" w:cs="宋体"/>
          <w:color w:val="auto"/>
          <w:sz w:val="28"/>
          <w:highlight w:val="none"/>
        </w:rPr>
      </w:pPr>
      <w:r>
        <w:rPr>
          <w:rFonts w:ascii="宋体" w:hAnsi="宋体" w:cs="宋体"/>
          <w:color w:val="auto"/>
          <w:sz w:val="28"/>
          <w:highlight w:val="none"/>
        </w:rPr>
      </w:r>
      <w:r/>
    </w:p>
    <w:p>
      <w:pPr>
        <w:pStyle w:val="922"/>
        <w:spacing w:line="400" w:lineRule="exact"/>
        <w:widowControl/>
        <w:rPr>
          <w:rFonts w:ascii="宋体" w:hAnsi="宋体" w:cs="宋体"/>
          <w:color w:val="auto"/>
          <w:sz w:val="28"/>
          <w:highlight w:val="none"/>
        </w:rPr>
      </w:pPr>
      <w:r>
        <w:rPr>
          <w:rFonts w:ascii="宋体" w:hAnsi="宋体" w:cs="宋体"/>
          <w:color w:val="auto"/>
          <w:sz w:val="28"/>
          <w:highlight w:val="none"/>
        </w:rPr>
      </w:r>
      <w:r/>
    </w:p>
    <w:p>
      <w:pPr>
        <w:pStyle w:val="922"/>
        <w:spacing w:line="400" w:lineRule="exact"/>
        <w:widowControl/>
        <w:rPr>
          <w:rFonts w:ascii="宋体" w:hAnsi="宋体" w:cs="宋体"/>
          <w:color w:val="auto"/>
          <w:sz w:val="28"/>
          <w:highlight w:val="none"/>
        </w:rPr>
      </w:pPr>
      <w:r>
        <w:rPr>
          <w:rFonts w:ascii="宋体" w:hAnsi="宋体" w:cs="宋体"/>
          <w:color w:val="auto"/>
          <w:sz w:val="28"/>
          <w:highlight w:val="none"/>
        </w:rPr>
      </w:r>
      <w:r/>
    </w:p>
    <w:p>
      <w:pPr>
        <w:pStyle w:val="922"/>
        <w:spacing w:line="400" w:lineRule="exact"/>
        <w:widowControl/>
        <w:rPr>
          <w:rFonts w:ascii="宋体" w:hAnsi="宋体" w:cs="宋体"/>
          <w:color w:val="auto"/>
          <w:sz w:val="28"/>
          <w:highlight w:val="none"/>
        </w:rPr>
      </w:pPr>
      <w:r>
        <w:rPr>
          <w:rFonts w:ascii="宋体" w:hAnsi="宋体" w:cs="宋体"/>
          <w:color w:val="auto"/>
          <w:sz w:val="28"/>
          <w:highlight w:val="none"/>
        </w:rPr>
      </w:r>
      <w:r/>
    </w:p>
    <w:p>
      <w:pPr>
        <w:pStyle w:val="922"/>
        <w:jc w:val="center"/>
        <w:spacing w:line="400" w:lineRule="exact"/>
        <w:widowControl/>
        <w:rPr>
          <w:rFonts w:ascii="宋体" w:hAnsi="宋体" w:cs="宋体"/>
          <w:color w:val="auto"/>
          <w:sz w:val="28"/>
          <w:szCs w:val="28"/>
          <w:highlight w:val="none"/>
        </w:rPr>
      </w:pPr>
      <w:r>
        <w:rPr>
          <w:rFonts w:ascii="宋体" w:hAnsi="宋体" w:cs="宋体"/>
          <w:color w:val="auto"/>
          <w:sz w:val="28"/>
          <w:szCs w:val="28"/>
          <w:highlight w:val="none"/>
        </w:rPr>
      </w:r>
      <w:r/>
    </w:p>
    <w:p>
      <w:pPr>
        <w:pStyle w:val="922"/>
        <w:jc w:val="center"/>
        <w:spacing w:line="400" w:lineRule="exact"/>
        <w:widowControl/>
        <w:rPr>
          <w:rFonts w:ascii="宋体" w:hAnsi="宋体" w:cs="宋体"/>
          <w:color w:val="auto"/>
          <w:sz w:val="28"/>
          <w:szCs w:val="28"/>
          <w:highlight w:val="none"/>
        </w:rPr>
      </w:pPr>
      <w:r>
        <w:rPr>
          <w:rFonts w:ascii="宋体" w:hAnsi="宋体" w:cs="宋体"/>
          <w:color w:val="auto"/>
          <w:sz w:val="28"/>
          <w:highlight w:val="none"/>
        </w:rPr>
        <w:t xml:space="preserve">(七)</w:t>
      </w:r>
      <w:r>
        <w:rPr>
          <w:rFonts w:hint="eastAsia" w:ascii="宋体" w:hAnsi="宋体" w:cs="宋体"/>
          <w:color w:val="auto"/>
          <w:sz w:val="28"/>
          <w:highlight w:val="none"/>
        </w:rPr>
        <w:t xml:space="preserve">落实政府采购政策需满足的资格条件</w:t>
      </w:r>
      <w:r/>
    </w:p>
    <w:p>
      <w:pPr>
        <w:ind w:firstLine="506"/>
        <w:jc w:val="center"/>
        <w:spacing w:line="360" w:lineRule="auto"/>
        <w:widowControl/>
        <w:rPr>
          <w:rFonts w:ascii="宋体" w:hAnsi="宋体"/>
          <w:b/>
          <w:color w:val="auto"/>
          <w:spacing w:val="6"/>
          <w:sz w:val="24"/>
          <w:highlight w:val="none"/>
        </w:rPr>
        <w:outlineLvl w:val="2"/>
      </w:pPr>
      <w:r>
        <w:rPr>
          <w:rFonts w:ascii="宋体" w:hAnsi="宋体"/>
          <w:b/>
          <w:color w:val="auto"/>
          <w:spacing w:val="6"/>
          <w:sz w:val="24"/>
          <w:highlight w:val="none"/>
        </w:rPr>
        <w:t xml:space="preserve">中小企业声明函</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 1.</w:t>
      </w:r>
      <w:r>
        <w:rPr>
          <w:rFonts w:ascii="宋体" w:hAnsi="宋体"/>
          <w:color w:val="auto"/>
          <w:spacing w:val="6"/>
          <w:sz w:val="24"/>
          <w:highlight w:val="none"/>
          <w:u w:val="single"/>
        </w:rPr>
        <w:t xml:space="preserve"> （标的名称）</w:t>
      </w:r>
      <w:r>
        <w:rPr>
          <w:rFonts w:ascii="宋体" w:hAnsi="宋体"/>
          <w:color w:val="auto"/>
          <w:spacing w:val="6"/>
          <w:sz w:val="24"/>
          <w:highlight w:val="none"/>
        </w:rPr>
        <w:t xml:space="preserve"> ，属于</w:t>
      </w:r>
      <w:r>
        <w:rPr>
          <w:rFonts w:ascii="宋体" w:hAnsi="宋体"/>
          <w:color w:val="auto"/>
          <w:spacing w:val="6"/>
          <w:sz w:val="24"/>
          <w:highlight w:val="none"/>
          <w:u w:val="single"/>
        </w:rPr>
        <w:t xml:space="preserve">（采购文件中明确的所属行业）</w:t>
      </w:r>
      <w:r>
        <w:rPr>
          <w:rFonts w:ascii="宋体" w:hAnsi="宋体"/>
          <w:color w:val="auto"/>
          <w:spacing w:val="6"/>
          <w:sz w:val="24"/>
          <w:highlight w:val="none"/>
        </w:rPr>
        <w:t xml:space="preserve">；承接企业为</w:t>
      </w:r>
      <w:r>
        <w:rPr>
          <w:rFonts w:ascii="宋体" w:hAnsi="宋体"/>
          <w:color w:val="auto"/>
          <w:spacing w:val="6"/>
          <w:sz w:val="24"/>
          <w:highlight w:val="none"/>
          <w:u w:val="single"/>
        </w:rPr>
        <w:t xml:space="preserve">（企业名称）</w:t>
      </w:r>
      <w:r>
        <w:rPr>
          <w:rFonts w:ascii="宋体" w:hAnsi="宋体"/>
          <w:color w:val="auto"/>
          <w:spacing w:val="6"/>
          <w:sz w:val="24"/>
          <w:highlight w:val="none"/>
        </w:rPr>
        <w:t xml:space="preserve">，从业人员</w:t>
      </w:r>
      <w:r>
        <w:rPr>
          <w:rFonts w:hint="eastAsia" w:ascii="宋体" w:hAnsi="宋体"/>
          <w:color w:val="auto"/>
          <w:spacing w:val="6"/>
          <w:sz w:val="24"/>
          <w:highlight w:val="none"/>
          <w:u w:val="single"/>
        </w:rPr>
        <w:t xml:space="preserve">    </w:t>
      </w:r>
      <w:r>
        <w:rPr>
          <w:rFonts w:ascii="宋体" w:hAnsi="宋体"/>
          <w:color w:val="auto"/>
          <w:spacing w:val="6"/>
          <w:sz w:val="24"/>
          <w:highlight w:val="none"/>
          <w:u w:val="single"/>
        </w:rPr>
        <w:t xml:space="preserve">人</w:t>
      </w:r>
      <w:r>
        <w:rPr>
          <w:rFonts w:ascii="宋体" w:hAnsi="宋体"/>
          <w:color w:val="auto"/>
          <w:spacing w:val="6"/>
          <w:sz w:val="24"/>
          <w:highlight w:val="none"/>
        </w:rPr>
        <w:t xml:space="preserve">，营业 收入为</w:t>
      </w:r>
      <w:r>
        <w:rPr>
          <w:rFonts w:hint="eastAsia" w:ascii="宋体" w:hAnsi="宋体"/>
          <w:color w:val="auto"/>
          <w:spacing w:val="6"/>
          <w:sz w:val="24"/>
          <w:highlight w:val="none"/>
          <w:u w:val="single"/>
        </w:rPr>
        <w:t xml:space="preserve">    </w:t>
      </w:r>
      <w:r>
        <w:rPr>
          <w:rFonts w:ascii="宋体" w:hAnsi="宋体"/>
          <w:color w:val="auto"/>
          <w:spacing w:val="6"/>
          <w:sz w:val="24"/>
          <w:highlight w:val="none"/>
          <w:u w:val="single"/>
        </w:rPr>
        <w:t xml:space="preserve">万元</w:t>
      </w:r>
      <w:r>
        <w:rPr>
          <w:rFonts w:ascii="宋体" w:hAnsi="宋体"/>
          <w:color w:val="auto"/>
          <w:spacing w:val="6"/>
          <w:sz w:val="24"/>
          <w:highlight w:val="none"/>
        </w:rPr>
        <w:t xml:space="preserve">，资产总额为</w:t>
      </w:r>
      <w:r>
        <w:rPr>
          <w:rFonts w:hint="eastAsia" w:ascii="宋体" w:hAnsi="宋体"/>
          <w:color w:val="auto"/>
          <w:spacing w:val="6"/>
          <w:sz w:val="24"/>
          <w:highlight w:val="none"/>
          <w:u w:val="single"/>
        </w:rPr>
        <w:t xml:space="preserve">    </w:t>
      </w:r>
      <w:r>
        <w:rPr>
          <w:rFonts w:ascii="宋体" w:hAnsi="宋体"/>
          <w:color w:val="auto"/>
          <w:spacing w:val="6"/>
          <w:sz w:val="24"/>
          <w:highlight w:val="none"/>
          <w:u w:val="single"/>
        </w:rPr>
        <w:t xml:space="preserve">万元</w:t>
      </w:r>
      <w:r>
        <w:rPr>
          <w:rFonts w:ascii="宋体" w:hAnsi="宋体"/>
          <w:color w:val="auto"/>
          <w:spacing w:val="6"/>
          <w:sz w:val="24"/>
          <w:highlight w:val="none"/>
        </w:rPr>
        <w:t xml:space="preserve">，属于</w:t>
      </w:r>
      <w:r>
        <w:rPr>
          <w:rFonts w:hint="eastAsia" w:ascii="宋体" w:hAnsi="宋体"/>
          <w:color w:val="auto"/>
          <w:spacing w:val="6"/>
          <w:sz w:val="24"/>
          <w:highlight w:val="none"/>
          <w:u w:val="single"/>
        </w:rPr>
        <w:t xml:space="preserve">    </w:t>
      </w:r>
      <w:r>
        <w:rPr>
          <w:rFonts w:ascii="宋体" w:hAnsi="宋体"/>
          <w:color w:val="auto"/>
          <w:spacing w:val="6"/>
          <w:sz w:val="24"/>
          <w:highlight w:val="none"/>
          <w:u w:val="single"/>
        </w:rPr>
        <w:t xml:space="preserve">（</w:t>
      </w:r>
      <w:r>
        <w:rPr>
          <w:rFonts w:hint="eastAsia" w:ascii="宋体" w:hAnsi="宋体" w:cs="宋体"/>
          <w:color w:val="auto"/>
          <w:spacing w:val="1"/>
          <w:sz w:val="24"/>
          <w:highlight w:val="none"/>
        </w:rPr>
        <w:t xml:space="preserve">□</w:t>
      </w:r>
      <w:r>
        <w:rPr>
          <w:rFonts w:ascii="宋体" w:hAnsi="宋体"/>
          <w:color w:val="auto"/>
          <w:spacing w:val="6"/>
          <w:sz w:val="24"/>
          <w:highlight w:val="none"/>
          <w:u w:val="single"/>
        </w:rPr>
        <w:t xml:space="preserve">中型企业、</w:t>
      </w:r>
      <w:r>
        <w:rPr>
          <w:rFonts w:hint="eastAsia" w:ascii="宋体" w:hAnsi="宋体" w:cs="宋体"/>
          <w:color w:val="auto"/>
          <w:spacing w:val="1"/>
          <w:sz w:val="24"/>
          <w:highlight w:val="none"/>
        </w:rPr>
        <w:t xml:space="preserve">□</w:t>
      </w:r>
      <w:r>
        <w:rPr>
          <w:rFonts w:ascii="宋体" w:hAnsi="宋体"/>
          <w:color w:val="auto"/>
          <w:spacing w:val="6"/>
          <w:sz w:val="24"/>
          <w:highlight w:val="none"/>
          <w:u w:val="single"/>
        </w:rPr>
        <w:t xml:space="preserve"> 小型企业、</w:t>
      </w:r>
      <w:r>
        <w:rPr>
          <w:rFonts w:hint="eastAsia" w:ascii="宋体" w:hAnsi="宋体" w:cs="宋体"/>
          <w:color w:val="auto"/>
          <w:spacing w:val="1"/>
          <w:sz w:val="24"/>
          <w:highlight w:val="none"/>
        </w:rPr>
        <w:t xml:space="preserve">□</w:t>
      </w:r>
      <w:r>
        <w:rPr>
          <w:rFonts w:ascii="宋体" w:hAnsi="宋体"/>
          <w:color w:val="auto"/>
          <w:spacing w:val="6"/>
          <w:sz w:val="24"/>
          <w:highlight w:val="none"/>
          <w:u w:val="single"/>
        </w:rPr>
        <w:t xml:space="preserve">微型企业）</w:t>
      </w:r>
      <w:r>
        <w:rPr>
          <w:rFonts w:ascii="宋体" w:hAnsi="宋体"/>
          <w:color w:val="auto"/>
          <w:spacing w:val="6"/>
          <w:sz w:val="24"/>
          <w:highlight w:val="none"/>
        </w:rPr>
        <w:t xml:space="preserve">； </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2.</w:t>
      </w:r>
      <w:r>
        <w:rPr>
          <w:rFonts w:ascii="宋体" w:hAnsi="宋体"/>
          <w:color w:val="auto"/>
          <w:spacing w:val="6"/>
          <w:sz w:val="24"/>
          <w:highlight w:val="none"/>
          <w:u w:val="single"/>
        </w:rPr>
        <w:t xml:space="preserve"> （标的名称）</w:t>
      </w:r>
      <w:r>
        <w:rPr>
          <w:rFonts w:ascii="宋体" w:hAnsi="宋体"/>
          <w:color w:val="auto"/>
          <w:spacing w:val="6"/>
          <w:sz w:val="24"/>
          <w:highlight w:val="none"/>
        </w:rPr>
        <w:t xml:space="preserve"> ，属于</w:t>
      </w:r>
      <w:r>
        <w:rPr>
          <w:rFonts w:ascii="宋体" w:hAnsi="宋体"/>
          <w:color w:val="auto"/>
          <w:spacing w:val="6"/>
          <w:sz w:val="24"/>
          <w:highlight w:val="none"/>
          <w:u w:val="single"/>
        </w:rPr>
        <w:t xml:space="preserve">（采购文件中明确的所属行业）</w:t>
      </w:r>
      <w:r>
        <w:rPr>
          <w:rFonts w:ascii="宋体" w:hAnsi="宋体"/>
          <w:color w:val="auto"/>
          <w:spacing w:val="6"/>
          <w:sz w:val="24"/>
          <w:highlight w:val="none"/>
        </w:rPr>
        <w:t xml:space="preserve">；承接企业为</w:t>
      </w:r>
      <w:r>
        <w:rPr>
          <w:rFonts w:ascii="宋体" w:hAnsi="宋体"/>
          <w:color w:val="auto"/>
          <w:spacing w:val="6"/>
          <w:sz w:val="24"/>
          <w:highlight w:val="none"/>
          <w:u w:val="single"/>
        </w:rPr>
        <w:t xml:space="preserve">（企业名称）</w:t>
      </w:r>
      <w:r>
        <w:rPr>
          <w:rFonts w:ascii="宋体" w:hAnsi="宋体"/>
          <w:color w:val="auto"/>
          <w:spacing w:val="6"/>
          <w:sz w:val="24"/>
          <w:highlight w:val="none"/>
        </w:rPr>
        <w:t xml:space="preserve">，从业人员</w:t>
      </w:r>
      <w:r>
        <w:rPr>
          <w:rFonts w:hint="eastAsia" w:ascii="宋体" w:hAnsi="宋体"/>
          <w:color w:val="auto"/>
          <w:spacing w:val="6"/>
          <w:sz w:val="24"/>
          <w:highlight w:val="none"/>
          <w:u w:val="single"/>
        </w:rPr>
        <w:t xml:space="preserve">    </w:t>
      </w:r>
      <w:r>
        <w:rPr>
          <w:rFonts w:ascii="宋体" w:hAnsi="宋体"/>
          <w:color w:val="auto"/>
          <w:spacing w:val="6"/>
          <w:sz w:val="24"/>
          <w:highlight w:val="none"/>
          <w:u w:val="single"/>
        </w:rPr>
        <w:t xml:space="preserve">人</w:t>
      </w:r>
      <w:r>
        <w:rPr>
          <w:rFonts w:ascii="宋体" w:hAnsi="宋体"/>
          <w:color w:val="auto"/>
          <w:spacing w:val="6"/>
          <w:sz w:val="24"/>
          <w:highlight w:val="none"/>
        </w:rPr>
        <w:t xml:space="preserve">，营业 收入为</w:t>
      </w:r>
      <w:r>
        <w:rPr>
          <w:rFonts w:hint="eastAsia" w:ascii="宋体" w:hAnsi="宋体"/>
          <w:color w:val="auto"/>
          <w:spacing w:val="6"/>
          <w:sz w:val="24"/>
          <w:highlight w:val="none"/>
          <w:u w:val="single"/>
        </w:rPr>
        <w:t xml:space="preserve">    </w:t>
      </w:r>
      <w:r>
        <w:rPr>
          <w:rFonts w:ascii="宋体" w:hAnsi="宋体"/>
          <w:color w:val="auto"/>
          <w:spacing w:val="6"/>
          <w:sz w:val="24"/>
          <w:highlight w:val="none"/>
          <w:u w:val="single"/>
        </w:rPr>
        <w:t xml:space="preserve">万元</w:t>
      </w:r>
      <w:r>
        <w:rPr>
          <w:rFonts w:ascii="宋体" w:hAnsi="宋体"/>
          <w:color w:val="auto"/>
          <w:spacing w:val="6"/>
          <w:sz w:val="24"/>
          <w:highlight w:val="none"/>
        </w:rPr>
        <w:t xml:space="preserve">，资产总额为</w:t>
      </w:r>
      <w:r>
        <w:rPr>
          <w:rFonts w:hint="eastAsia" w:ascii="宋体" w:hAnsi="宋体"/>
          <w:color w:val="auto"/>
          <w:spacing w:val="6"/>
          <w:sz w:val="24"/>
          <w:highlight w:val="none"/>
          <w:u w:val="single"/>
        </w:rPr>
        <w:t xml:space="preserve">    </w:t>
      </w:r>
      <w:r>
        <w:rPr>
          <w:rFonts w:ascii="宋体" w:hAnsi="宋体"/>
          <w:color w:val="auto"/>
          <w:spacing w:val="6"/>
          <w:sz w:val="24"/>
          <w:highlight w:val="none"/>
          <w:u w:val="single"/>
        </w:rPr>
        <w:t xml:space="preserve">万元</w:t>
      </w:r>
      <w:r>
        <w:rPr>
          <w:rFonts w:ascii="宋体" w:hAnsi="宋体"/>
          <w:color w:val="auto"/>
          <w:spacing w:val="6"/>
          <w:sz w:val="24"/>
          <w:highlight w:val="none"/>
        </w:rPr>
        <w:t xml:space="preserve">，属于</w:t>
      </w:r>
      <w:r>
        <w:rPr>
          <w:rFonts w:hint="eastAsia" w:ascii="宋体" w:hAnsi="宋体"/>
          <w:color w:val="auto"/>
          <w:spacing w:val="6"/>
          <w:sz w:val="24"/>
          <w:highlight w:val="none"/>
          <w:u w:val="single"/>
        </w:rPr>
        <w:t xml:space="preserve">    </w:t>
      </w:r>
      <w:r>
        <w:rPr>
          <w:rFonts w:ascii="宋体" w:hAnsi="宋体"/>
          <w:color w:val="auto"/>
          <w:spacing w:val="6"/>
          <w:sz w:val="24"/>
          <w:highlight w:val="none"/>
          <w:u w:val="single"/>
        </w:rPr>
        <w:t xml:space="preserve">（</w:t>
      </w:r>
      <w:r>
        <w:rPr>
          <w:rFonts w:hint="eastAsia" w:ascii="宋体" w:hAnsi="宋体" w:cs="宋体"/>
          <w:color w:val="auto"/>
          <w:spacing w:val="1"/>
          <w:sz w:val="24"/>
          <w:highlight w:val="none"/>
        </w:rPr>
        <w:t xml:space="preserve">□</w:t>
      </w:r>
      <w:r>
        <w:rPr>
          <w:rFonts w:ascii="宋体" w:hAnsi="宋体"/>
          <w:color w:val="auto"/>
          <w:spacing w:val="6"/>
          <w:sz w:val="24"/>
          <w:highlight w:val="none"/>
          <w:u w:val="single"/>
        </w:rPr>
        <w:t xml:space="preserve">中型企业、</w:t>
      </w:r>
      <w:r>
        <w:rPr>
          <w:rFonts w:hint="eastAsia" w:ascii="宋体" w:hAnsi="宋体" w:cs="宋体"/>
          <w:color w:val="auto"/>
          <w:spacing w:val="1"/>
          <w:sz w:val="24"/>
          <w:highlight w:val="none"/>
        </w:rPr>
        <w:t xml:space="preserve">□</w:t>
      </w:r>
      <w:r>
        <w:rPr>
          <w:rFonts w:ascii="宋体" w:hAnsi="宋体"/>
          <w:color w:val="auto"/>
          <w:spacing w:val="6"/>
          <w:sz w:val="24"/>
          <w:highlight w:val="none"/>
          <w:u w:val="single"/>
        </w:rPr>
        <w:t xml:space="preserve"> 小型企业、</w:t>
      </w:r>
      <w:r>
        <w:rPr>
          <w:rFonts w:hint="eastAsia" w:ascii="宋体" w:hAnsi="宋体" w:cs="宋体"/>
          <w:color w:val="auto"/>
          <w:spacing w:val="1"/>
          <w:sz w:val="24"/>
          <w:highlight w:val="none"/>
        </w:rPr>
        <w:t xml:space="preserve">□</w:t>
      </w:r>
      <w:r>
        <w:rPr>
          <w:rFonts w:ascii="宋体" w:hAnsi="宋体"/>
          <w:color w:val="auto"/>
          <w:spacing w:val="6"/>
          <w:sz w:val="24"/>
          <w:highlight w:val="none"/>
          <w:u w:val="single"/>
        </w:rPr>
        <w:t xml:space="preserve">微型企业）</w:t>
      </w:r>
      <w:r>
        <w:rPr>
          <w:rFonts w:ascii="宋体" w:hAnsi="宋体"/>
          <w:color w:val="auto"/>
          <w:spacing w:val="6"/>
          <w:sz w:val="24"/>
          <w:highlight w:val="none"/>
        </w:rPr>
        <w:t xml:space="preserve">； </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 </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以上企业，不属于大企业的分支机构，不存在控股股东为大企业的情形，也不存在与大企业的负责人为同一人的情形。 </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本企业对上述声明内容的真实性负责。如有虚假，将依法承担相应责任。 </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企业名称（盖章）：</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日 期：</w:t>
      </w:r>
      <w:r>
        <w:rPr>
          <w:rFonts w:hint="eastAsia" w:ascii="宋体" w:hAnsi="宋体"/>
          <w:color w:val="auto"/>
          <w:spacing w:val="6"/>
          <w:sz w:val="24"/>
          <w:highlight w:val="none"/>
        </w:rPr>
        <w:t xml:space="preserve">      </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注：</w:t>
      </w:r>
      <w:r>
        <w:rPr>
          <w:rFonts w:ascii="宋体" w:hAnsi="宋体" w:cs="宋体"/>
          <w:color w:val="auto"/>
          <w:sz w:val="24"/>
          <w:highlight w:val="none"/>
        </w:rPr>
        <w:t xml:space="preserve">从业人员、营业收入、资产总额填报上一年度数据，无上一年度数据的新成立企业可不填报。</w:t>
      </w:r>
      <w:r/>
    </w:p>
    <w:p>
      <w:pPr>
        <w:pStyle w:val="922"/>
        <w:ind w:firstLine="560"/>
        <w:jc w:val="center"/>
        <w:spacing w:line="400" w:lineRule="exact"/>
        <w:widowControl/>
        <w:rPr>
          <w:rFonts w:ascii="宋体" w:hAnsi="宋体" w:cs="宋体"/>
          <w:color w:val="auto"/>
          <w:sz w:val="28"/>
          <w:highlight w:val="none"/>
        </w:rPr>
      </w:pPr>
      <w:r>
        <w:rPr>
          <w:rFonts w:ascii="宋体" w:hAnsi="宋体" w:cs="宋体"/>
          <w:color w:val="auto"/>
          <w:sz w:val="28"/>
          <w:highlight w:val="none"/>
        </w:rPr>
      </w:r>
      <w:r/>
    </w:p>
    <w:p>
      <w:pPr>
        <w:pStyle w:val="922"/>
        <w:ind w:firstLine="560"/>
        <w:jc w:val="center"/>
        <w:spacing w:line="400" w:lineRule="exact"/>
        <w:widowControl/>
        <w:rPr>
          <w:rFonts w:ascii="宋体" w:hAnsi="宋体" w:cs="宋体"/>
          <w:color w:val="auto"/>
          <w:sz w:val="28"/>
          <w:highlight w:val="none"/>
        </w:rPr>
      </w:pPr>
      <w:r>
        <w:rPr>
          <w:rFonts w:ascii="宋体" w:hAnsi="宋体" w:cs="宋体"/>
          <w:color w:val="auto"/>
          <w:sz w:val="28"/>
          <w:highlight w:val="none"/>
        </w:rPr>
      </w:r>
      <w:r/>
    </w:p>
    <w:p>
      <w:pPr>
        <w:spacing w:line="360" w:lineRule="auto"/>
        <w:widowControl/>
        <w:rPr>
          <w:rFonts w:ascii="宋体" w:hAnsi="宋体" w:cs="宋体"/>
          <w:color w:val="auto"/>
          <w:sz w:val="24"/>
          <w:highlight w:val="none"/>
        </w:rPr>
      </w:pPr>
      <w:r>
        <w:rPr>
          <w:rFonts w:ascii="宋体" w:hAnsi="宋体" w:cs="宋体"/>
          <w:color w:val="auto"/>
          <w:sz w:val="24"/>
          <w:highlight w:val="none"/>
        </w:rPr>
      </w:r>
      <w:r/>
    </w:p>
    <w:p>
      <w:pPr>
        <w:pStyle w:val="922"/>
        <w:ind w:firstLine="560"/>
        <w:jc w:val="center"/>
        <w:spacing w:line="400" w:lineRule="exact"/>
        <w:widowControl/>
        <w:rPr>
          <w:rFonts w:ascii="宋体" w:hAnsi="宋体" w:cs="宋体"/>
          <w:color w:val="auto"/>
          <w:sz w:val="28"/>
          <w:highlight w:val="none"/>
        </w:rPr>
      </w:pPr>
      <w:r>
        <w:rPr>
          <w:rFonts w:ascii="宋体" w:hAnsi="宋体" w:cs="宋体"/>
          <w:color w:val="auto"/>
          <w:sz w:val="28"/>
          <w:highlight w:val="none"/>
        </w:rPr>
      </w:r>
      <w:r/>
    </w:p>
    <w:p>
      <w:pPr>
        <w:rPr>
          <w:b/>
          <w:color w:val="auto"/>
          <w:sz w:val="32"/>
          <w:szCs w:val="32"/>
          <w:highlight w:val="none"/>
        </w:rPr>
      </w:pPr>
      <w:r/>
      <w:bookmarkStart w:id="113" w:name="_Toc78"/>
      <w:r>
        <w:rPr>
          <w:rFonts w:hint="eastAsia"/>
          <w:b/>
          <w:color w:val="auto"/>
          <w:sz w:val="32"/>
          <w:szCs w:val="32"/>
          <w:highlight w:val="none"/>
        </w:rPr>
        <w:br w:type="page" w:clear="all"/>
      </w:r>
      <w:r/>
    </w:p>
    <w:p>
      <w:pPr>
        <w:pStyle w:val="933"/>
        <w:jc w:val="center"/>
        <w:rPr>
          <w:rFonts w:eastAsia="宋体"/>
          <w:b/>
          <w:color w:val="auto"/>
          <w:sz w:val="32"/>
          <w:szCs w:val="32"/>
          <w:highlight w:val="none"/>
        </w:rPr>
        <w:outlineLvl w:val="2"/>
      </w:pPr>
      <w:r>
        <w:rPr>
          <w:rFonts w:hint="eastAsia" w:eastAsia="宋体"/>
          <w:b/>
          <w:color w:val="auto"/>
          <w:sz w:val="32"/>
          <w:szCs w:val="32"/>
          <w:highlight w:val="none"/>
        </w:rPr>
        <w:t xml:space="preserve">三、符合条件</w:t>
      </w:r>
      <w:bookmarkEnd w:id="113"/>
      <w:r/>
      <w:r/>
    </w:p>
    <w:p>
      <w:pPr>
        <w:ind w:firstLine="482"/>
        <w:jc w:val="center"/>
        <w:rPr>
          <w:rFonts w:ascii="宋体" w:hAnsi="宋体"/>
          <w:b/>
          <w:color w:val="auto"/>
          <w:sz w:val="24"/>
          <w:szCs w:val="24"/>
          <w:highlight w:val="none"/>
        </w:rPr>
      </w:pPr>
      <w:r>
        <w:rPr>
          <w:rFonts w:hint="eastAsia" w:ascii="宋体" w:hAnsi="宋体"/>
          <w:b/>
          <w:color w:val="auto"/>
          <w:sz w:val="24"/>
          <w:szCs w:val="24"/>
          <w:highlight w:val="none"/>
        </w:rPr>
        <w:t xml:space="preserve">（一）投标报价</w:t>
      </w:r>
      <w:r/>
    </w:p>
    <w:p>
      <w:pPr>
        <w:pStyle w:val="933"/>
        <w:jc w:val="both"/>
        <w:rPr>
          <w:rFonts w:eastAsia="宋体"/>
          <w:b/>
          <w:color w:val="auto"/>
          <w:sz w:val="32"/>
          <w:szCs w:val="32"/>
          <w:highlight w:val="none"/>
        </w:rPr>
        <w:outlineLvl w:val="2"/>
      </w:pPr>
      <w:r>
        <w:rPr>
          <w:rFonts w:eastAsia="宋体"/>
          <w:b/>
          <w:color w:val="auto"/>
          <w:sz w:val="32"/>
          <w:szCs w:val="32"/>
          <w:highlight w:val="none"/>
        </w:rPr>
      </w:r>
      <w:r/>
    </w:p>
    <w:p>
      <w:pPr>
        <w:ind w:firstLine="482"/>
        <w:jc w:val="center"/>
        <w:rPr>
          <w:rFonts w:ascii="宋体" w:hAnsi="宋体"/>
          <w:b/>
          <w:color w:val="auto"/>
          <w:sz w:val="24"/>
          <w:szCs w:val="24"/>
          <w:highlight w:val="none"/>
        </w:rPr>
      </w:pPr>
      <w:r>
        <w:rPr>
          <w:rFonts w:hint="eastAsia" w:ascii="宋体" w:hAnsi="宋体"/>
          <w:b/>
          <w:color w:val="auto"/>
          <w:sz w:val="24"/>
          <w:szCs w:val="24"/>
          <w:highlight w:val="none"/>
        </w:rPr>
        <w:t xml:space="preserve">(二)技术及服务要求响应及偏离表</w:t>
      </w:r>
      <w:r/>
    </w:p>
    <w:tbl>
      <w:tblPr>
        <w:tblStyle w:val="663"/>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序序号</w:t>
            </w:r>
            <w:r/>
          </w:p>
        </w:tc>
        <w:tc>
          <w:tcPr>
            <w:tcW w:w="3291" w:type="dxa"/>
            <w:vAlign w:val="center"/>
            <w:textDirection w:val="lrTb"/>
            <w:noWrap w:val="false"/>
          </w:tcPr>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招标文件要求</w:t>
            </w:r>
            <w:r/>
          </w:p>
        </w:tc>
        <w:tc>
          <w:tcPr>
            <w:tcW w:w="2852" w:type="dxa"/>
            <w:vAlign w:val="center"/>
            <w:textDirection w:val="lrTb"/>
            <w:noWrap w:val="false"/>
          </w:tcPr>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投标响应情况</w:t>
            </w:r>
            <w:r/>
          </w:p>
        </w:tc>
        <w:tc>
          <w:tcPr>
            <w:tcW w:w="1308" w:type="dxa"/>
            <w:vAlign w:val="center"/>
            <w:textDirection w:val="lrTb"/>
            <w:noWrap w:val="false"/>
          </w:tcPr>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符合/正偏离/负偏离</w:t>
            </w:r>
            <w:r/>
          </w:p>
        </w:tc>
        <w:tc>
          <w:tcPr>
            <w:tcW w:w="1173" w:type="dxa"/>
            <w:vAlign w:val="center"/>
            <w:textDirection w:val="lrTb"/>
            <w:noWrap w:val="false"/>
          </w:tcPr>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备注</w:t>
            </w:r>
            <w:r/>
          </w:p>
        </w:tc>
      </w:tr>
      <w:tr>
        <w:trPr>
          <w:cantSplit/>
          <w:trHeight w:val="640"/>
        </w:trPr>
        <w:tc>
          <w:tcPr>
            <w:tcW w:w="545"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r>
    </w:tbl>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注： 行数不够，可自行添加。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注： 针对第四部分 采购需求中“技术要求”部分进行逐条响应。</w:t>
      </w:r>
      <w:r/>
    </w:p>
    <w:p>
      <w:pPr>
        <w:pStyle w:val="937"/>
        <w:jc w:val="center"/>
        <w:rPr>
          <w:rFonts w:ascii="宋体" w:hAnsi="宋体" w:eastAsia="宋体"/>
          <w:b/>
          <w:color w:val="auto"/>
          <w:highlight w:val="none"/>
        </w:rPr>
        <w:outlineLvl w:val="2"/>
      </w:pPr>
      <w:r/>
      <w:bookmarkStart w:id="114" w:name="_Toc79"/>
      <w:r>
        <w:rPr>
          <w:rFonts w:hint="eastAsia" w:ascii="宋体" w:hAnsi="宋体" w:eastAsia="宋体"/>
          <w:b/>
          <w:color w:val="auto"/>
          <w:highlight w:val="none"/>
        </w:rPr>
        <w:t xml:space="preserve">（三）商务要求响应及偏离表</w:t>
      </w:r>
      <w:bookmarkEnd w:id="114"/>
      <w:r/>
      <w:r/>
    </w:p>
    <w:tbl>
      <w:tblPr>
        <w:tblStyle w:val="663"/>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序号</w:t>
            </w:r>
            <w:r/>
          </w:p>
        </w:tc>
        <w:tc>
          <w:tcPr>
            <w:tcW w:w="2688" w:type="dxa"/>
            <w:vAlign w:val="center"/>
            <w:textDirection w:val="lrTb"/>
            <w:noWrap w:val="false"/>
          </w:tcPr>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招标文件要求</w:t>
            </w:r>
            <w:r/>
          </w:p>
        </w:tc>
        <w:tc>
          <w:tcPr>
            <w:tcW w:w="2883" w:type="dxa"/>
            <w:vAlign w:val="center"/>
            <w:textDirection w:val="lrTb"/>
            <w:noWrap w:val="false"/>
          </w:tcPr>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投标响应情况</w:t>
            </w:r>
            <w:r/>
          </w:p>
        </w:tc>
        <w:tc>
          <w:tcPr>
            <w:tcW w:w="1302" w:type="dxa"/>
            <w:vAlign w:val="center"/>
            <w:textDirection w:val="lrTb"/>
            <w:noWrap w:val="false"/>
          </w:tcPr>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符合/正偏离/负偏离</w:t>
            </w:r>
            <w:r/>
          </w:p>
        </w:tc>
        <w:tc>
          <w:tcPr>
            <w:tcW w:w="1614" w:type="dxa"/>
            <w:vAlign w:val="center"/>
            <w:textDirection w:val="lrTb"/>
            <w:noWrap w:val="false"/>
          </w:tcPr>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备注</w:t>
            </w:r>
            <w:r/>
          </w:p>
        </w:tc>
      </w:tr>
      <w:tr>
        <w:trPr>
          <w:cantSplit/>
          <w:trHeight w:val="640"/>
        </w:trPr>
        <w:tc>
          <w:tcPr>
            <w:tcW w:w="682"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c>
          <w:tcPr>
            <w:tcW w:w="2688"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c>
          <w:tcPr>
            <w:tcW w:w="2883"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c>
          <w:tcPr>
            <w:tcW w:w="1302"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c>
          <w:tcPr>
            <w:tcW w:w="1614"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r>
      <w:tr>
        <w:trPr>
          <w:cantSplit/>
          <w:trHeight w:val="640"/>
        </w:trPr>
        <w:tc>
          <w:tcPr>
            <w:tcW w:w="682"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c>
          <w:tcPr>
            <w:tcW w:w="2688"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c>
          <w:tcPr>
            <w:tcW w:w="2883"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c>
          <w:tcPr>
            <w:tcW w:w="1302"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c>
          <w:tcPr>
            <w:tcW w:w="1614"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r>
      <w:tr>
        <w:trPr>
          <w:cantSplit/>
          <w:trHeight w:val="640"/>
        </w:trPr>
        <w:tc>
          <w:tcPr>
            <w:tcW w:w="682"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c>
          <w:tcPr>
            <w:tcW w:w="2688"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c>
          <w:tcPr>
            <w:tcW w:w="2883"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c>
          <w:tcPr>
            <w:tcW w:w="1302"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c>
          <w:tcPr>
            <w:tcW w:w="1614"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r>
      <w:tr>
        <w:trPr>
          <w:cantSplit/>
          <w:trHeight w:val="640"/>
        </w:trPr>
        <w:tc>
          <w:tcPr>
            <w:tcW w:w="682"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c>
          <w:tcPr>
            <w:tcW w:w="2688"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c>
          <w:tcPr>
            <w:tcW w:w="2883"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c>
          <w:tcPr>
            <w:tcW w:w="1302"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c>
          <w:tcPr>
            <w:tcW w:w="1614" w:type="dxa"/>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r>
    </w:tbl>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注： 行数不够，可自行添加。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注： 针对第四部分 采购需求中“商务要求”部分进行逐条响应。</w:t>
      </w:r>
      <w:r/>
    </w:p>
    <w:p>
      <w:pPr>
        <w:ind w:firstLine="420"/>
        <w:jc w:val="center"/>
        <w:spacing w:line="360" w:lineRule="auto"/>
        <w:rPr>
          <w:color w:val="auto"/>
          <w:highlight w:val="none"/>
        </w:rPr>
      </w:pPr>
      <w:r>
        <w:rPr>
          <w:color w:val="auto"/>
          <w:highlight w:val="none"/>
        </w:rPr>
      </w:r>
      <w:r/>
    </w:p>
    <w:p>
      <w:pPr>
        <w:pStyle w:val="942"/>
        <w:ind w:firstLine="321"/>
        <w:jc w:val="center"/>
        <w:rPr>
          <w:rFonts w:ascii="宋体" w:hAnsi="宋体" w:eastAsia="宋体" w:cs="宋体"/>
          <w:b/>
          <w:color w:val="auto"/>
          <w:sz w:val="32"/>
          <w:highlight w:val="none"/>
        </w:rPr>
        <w:outlineLvl w:val="2"/>
      </w:pPr>
      <w:r>
        <w:rPr>
          <w:rFonts w:ascii="宋体" w:hAnsi="宋体" w:eastAsia="宋体" w:cs="宋体"/>
          <w:b/>
          <w:color w:val="auto"/>
          <w:sz w:val="32"/>
          <w:highlight w:val="none"/>
        </w:rPr>
      </w:r>
      <w:r/>
    </w:p>
    <w:p>
      <w:pPr>
        <w:pStyle w:val="942"/>
        <w:ind w:firstLine="321"/>
        <w:jc w:val="center"/>
        <w:rPr>
          <w:rFonts w:ascii="宋体" w:hAnsi="宋体" w:eastAsia="宋体" w:cs="宋体"/>
          <w:b/>
          <w:color w:val="auto"/>
          <w:sz w:val="32"/>
          <w:highlight w:val="none"/>
        </w:rPr>
        <w:outlineLvl w:val="2"/>
      </w:pPr>
      <w:r>
        <w:rPr>
          <w:rFonts w:ascii="宋体" w:hAnsi="宋体" w:eastAsia="宋体" w:cs="宋体"/>
          <w:b/>
          <w:color w:val="auto"/>
          <w:sz w:val="32"/>
          <w:highlight w:val="none"/>
        </w:rPr>
      </w:r>
      <w:r/>
    </w:p>
    <w:p>
      <w:pPr>
        <w:pStyle w:val="942"/>
        <w:ind w:firstLine="321"/>
        <w:jc w:val="center"/>
        <w:rPr>
          <w:rFonts w:ascii="宋体" w:hAnsi="宋体" w:eastAsia="宋体" w:cs="宋体"/>
          <w:b/>
          <w:color w:val="auto"/>
          <w:sz w:val="32"/>
          <w:highlight w:val="none"/>
        </w:rPr>
        <w:outlineLvl w:val="2"/>
      </w:pPr>
      <w:r>
        <w:rPr>
          <w:rFonts w:ascii="宋体" w:hAnsi="宋体" w:eastAsia="宋体" w:cs="宋体"/>
          <w:b/>
          <w:color w:val="auto"/>
          <w:sz w:val="32"/>
          <w:highlight w:val="none"/>
        </w:rPr>
      </w:r>
      <w:r/>
    </w:p>
    <w:p>
      <w:pPr>
        <w:pStyle w:val="942"/>
        <w:ind w:firstLine="321"/>
        <w:jc w:val="center"/>
        <w:rPr>
          <w:rFonts w:ascii="宋体" w:hAnsi="宋体" w:eastAsia="宋体" w:cs="宋体"/>
          <w:b/>
          <w:color w:val="auto"/>
          <w:sz w:val="32"/>
          <w:highlight w:val="none"/>
        </w:rPr>
        <w:outlineLvl w:val="2"/>
      </w:pPr>
      <w:r>
        <w:rPr>
          <w:rFonts w:ascii="宋体" w:hAnsi="宋体" w:eastAsia="宋体" w:cs="宋体"/>
          <w:b/>
          <w:color w:val="auto"/>
          <w:sz w:val="32"/>
          <w:highlight w:val="none"/>
        </w:rPr>
      </w:r>
      <w:r/>
    </w:p>
    <w:p>
      <w:pPr>
        <w:pStyle w:val="942"/>
        <w:ind w:firstLine="321"/>
        <w:jc w:val="both"/>
        <w:rPr>
          <w:color w:val="auto"/>
          <w:highlight w:val="none"/>
        </w:rPr>
        <w:outlineLvl w:val="2"/>
      </w:pPr>
      <w:r>
        <w:rPr>
          <w:color w:val="auto"/>
          <w:highlight w:val="none"/>
        </w:rPr>
      </w:r>
      <w:r/>
    </w:p>
    <w:p>
      <w:pPr>
        <w:pStyle w:val="942"/>
        <w:jc w:val="center"/>
        <w:rPr>
          <w:rFonts w:ascii="宋体" w:hAnsi="宋体" w:eastAsia="宋体" w:cs="宋体"/>
          <w:b/>
          <w:color w:val="auto"/>
          <w:sz w:val="32"/>
          <w:highlight w:val="none"/>
        </w:rPr>
        <w:outlineLvl w:val="2"/>
      </w:pPr>
      <w:r/>
      <w:bookmarkStart w:id="115" w:name="_Toc80"/>
      <w:r>
        <w:rPr>
          <w:rFonts w:hint="eastAsia" w:ascii="宋体" w:hAnsi="宋体" w:eastAsia="宋体" w:cs="宋体"/>
          <w:b/>
          <w:color w:val="auto"/>
          <w:sz w:val="32"/>
          <w:highlight w:val="none"/>
        </w:rPr>
        <w:t xml:space="preserve">四、综合评审评分项</w:t>
      </w:r>
      <w:bookmarkEnd w:id="115"/>
      <w:r>
        <w:rPr>
          <w:rFonts w:hint="eastAsia" w:ascii="宋体" w:hAnsi="宋体" w:eastAsia="宋体" w:cs="宋体"/>
          <w:b/>
          <w:color w:val="auto"/>
          <w:sz w:val="32"/>
          <w:highlight w:val="none"/>
        </w:rPr>
        <w:t xml:space="preserve">（与评分标准相对应）</w:t>
      </w:r>
      <w:r/>
    </w:p>
    <w:p>
      <w:pPr>
        <w:pStyle w:val="942"/>
        <w:jc w:val="center"/>
        <w:rPr>
          <w:rStyle w:val="899"/>
          <w:b w:val="0"/>
          <w:color w:val="auto"/>
          <w:highlight w:val="none"/>
        </w:rPr>
        <w:outlineLvl w:val="2"/>
      </w:pPr>
      <w:r>
        <w:rPr>
          <w:b w:val="0"/>
          <w:color w:val="auto"/>
          <w:highlight w:val="none"/>
        </w:rPr>
      </w:r>
      <w:r/>
    </w:p>
    <w:p>
      <w:pPr>
        <w:pStyle w:val="942"/>
        <w:jc w:val="center"/>
        <w:rPr>
          <w:rStyle w:val="899"/>
          <w:b w:val="0"/>
          <w:color w:val="auto"/>
          <w:highlight w:val="none"/>
        </w:rPr>
        <w:outlineLvl w:val="2"/>
      </w:pPr>
      <w:r>
        <w:rPr>
          <w:b w:val="0"/>
          <w:color w:val="auto"/>
          <w:highlight w:val="none"/>
        </w:rPr>
      </w:r>
      <w:r/>
    </w:p>
    <w:p>
      <w:pPr>
        <w:ind w:firstLine="480"/>
        <w:spacing w:line="360" w:lineRule="auto"/>
        <w:rPr>
          <w:rFonts w:ascii="宋体" w:hAnsi="宋体"/>
          <w:color w:val="auto"/>
          <w:sz w:val="24"/>
          <w:highlight w:val="none"/>
          <w:u w:val="single"/>
        </w:rPr>
      </w:pPr>
      <w:r>
        <w:rPr>
          <w:rFonts w:ascii="宋体" w:hAnsi="宋体"/>
          <w:color w:val="auto"/>
          <w:sz w:val="24"/>
          <w:highlight w:val="none"/>
          <w:u w:val="single"/>
        </w:rPr>
      </w:r>
      <w:r/>
    </w:p>
    <w:p>
      <w:pPr>
        <w:ind w:firstLine="480"/>
        <w:spacing w:line="360" w:lineRule="auto"/>
        <w:rPr>
          <w:rFonts w:ascii="宋体" w:hAnsi="宋体"/>
          <w:color w:val="auto"/>
          <w:sz w:val="24"/>
          <w:highlight w:val="none"/>
          <w:u w:val="single"/>
        </w:rPr>
      </w:pPr>
      <w:r>
        <w:rPr>
          <w:rFonts w:ascii="宋体" w:hAnsi="宋体"/>
          <w:color w:val="auto"/>
          <w:sz w:val="24"/>
          <w:highlight w:val="none"/>
          <w:u w:val="single"/>
        </w:rPr>
      </w:r>
      <w:r/>
    </w:p>
    <w:p>
      <w:pPr>
        <w:pStyle w:val="947"/>
        <w:ind w:firstLine="480"/>
        <w:spacing w:line="360" w:lineRule="auto"/>
        <w:rPr>
          <w:rFonts w:ascii="宋体" w:hAnsi="宋体"/>
          <w:color w:val="auto"/>
          <w:sz w:val="24"/>
          <w:highlight w:val="none"/>
          <w:u w:val="single"/>
        </w:rPr>
      </w:pPr>
      <w:r>
        <w:rPr>
          <w:rFonts w:ascii="宋体" w:hAnsi="宋体"/>
          <w:color w:val="auto"/>
          <w:sz w:val="24"/>
          <w:highlight w:val="none"/>
          <w:u w:val="single"/>
        </w:rPr>
      </w:r>
      <w:r/>
    </w:p>
    <w:p>
      <w:pPr>
        <w:pStyle w:val="944"/>
        <w:rPr>
          <w:color w:val="auto"/>
          <w:highlight w:val="none"/>
        </w:rPr>
        <w:outlineLvl w:val="2"/>
      </w:pPr>
      <w:r>
        <w:rPr>
          <w:color w:val="auto"/>
          <w:highlight w:val="none"/>
        </w:rPr>
      </w:r>
      <w:r/>
    </w:p>
    <w:p>
      <w:pPr>
        <w:pStyle w:val="951"/>
        <w:jc w:val="center"/>
        <w:spacing w:before="320" w:after="320"/>
        <w:rPr>
          <w:rFonts w:ascii="宋体" w:hAnsi="宋体" w:eastAsia="宋体" w:cs="宋体"/>
          <w:b/>
          <w:color w:val="auto"/>
          <w:sz w:val="32"/>
          <w:highlight w:val="none"/>
        </w:rPr>
      </w:pPr>
      <w:r>
        <w:rPr>
          <w:rFonts w:ascii="宋体" w:hAnsi="宋体" w:eastAsia="宋体" w:cs="宋体"/>
          <w:b/>
          <w:color w:val="auto"/>
          <w:sz w:val="32"/>
          <w:highlight w:val="none"/>
        </w:rPr>
      </w:r>
      <w:r/>
    </w:p>
    <w:p>
      <w:pPr>
        <w:pStyle w:val="951"/>
        <w:jc w:val="center"/>
        <w:spacing w:before="320" w:after="320"/>
        <w:rPr>
          <w:rFonts w:ascii="宋体" w:hAnsi="宋体" w:eastAsia="宋体" w:cs="宋体"/>
          <w:b/>
          <w:color w:val="auto"/>
          <w:sz w:val="32"/>
          <w:highlight w:val="none"/>
        </w:rPr>
      </w:pPr>
      <w:r>
        <w:rPr>
          <w:rFonts w:ascii="宋体" w:hAnsi="宋体" w:eastAsia="宋体" w:cs="宋体"/>
          <w:b/>
          <w:color w:val="auto"/>
          <w:sz w:val="32"/>
          <w:highlight w:val="none"/>
        </w:rPr>
      </w:r>
      <w:r/>
    </w:p>
    <w:p>
      <w:pPr>
        <w:pStyle w:val="951"/>
        <w:jc w:val="center"/>
        <w:spacing w:before="320" w:after="320"/>
        <w:rPr>
          <w:rFonts w:ascii="宋体" w:hAnsi="宋体" w:eastAsia="宋体" w:cs="宋体"/>
          <w:b/>
          <w:color w:val="auto"/>
          <w:sz w:val="32"/>
          <w:highlight w:val="none"/>
        </w:rPr>
      </w:pPr>
      <w:r>
        <w:rPr>
          <w:rFonts w:ascii="宋体" w:hAnsi="宋体" w:eastAsia="宋体" w:cs="宋体"/>
          <w:b/>
          <w:color w:val="auto"/>
          <w:sz w:val="32"/>
          <w:highlight w:val="none"/>
        </w:rPr>
      </w:r>
      <w:r/>
    </w:p>
    <w:p>
      <w:pPr>
        <w:pStyle w:val="951"/>
        <w:jc w:val="center"/>
        <w:spacing w:before="320" w:after="320"/>
        <w:rPr>
          <w:rFonts w:ascii="宋体" w:hAnsi="宋体" w:eastAsia="宋体" w:cs="宋体"/>
          <w:b/>
          <w:color w:val="auto"/>
          <w:sz w:val="32"/>
          <w:highlight w:val="none"/>
        </w:rPr>
      </w:pPr>
      <w:r>
        <w:rPr>
          <w:rFonts w:ascii="宋体" w:hAnsi="宋体" w:eastAsia="宋体" w:cs="宋体"/>
          <w:b/>
          <w:color w:val="auto"/>
          <w:sz w:val="32"/>
          <w:highlight w:val="none"/>
        </w:rPr>
      </w:r>
      <w:r/>
    </w:p>
    <w:p>
      <w:pPr>
        <w:pStyle w:val="951"/>
        <w:jc w:val="center"/>
        <w:spacing w:before="320" w:after="320"/>
        <w:rPr>
          <w:rFonts w:ascii="宋体" w:hAnsi="宋体" w:eastAsia="宋体" w:cs="宋体"/>
          <w:b/>
          <w:color w:val="auto"/>
          <w:sz w:val="32"/>
          <w:highlight w:val="none"/>
        </w:rPr>
      </w:pPr>
      <w:r>
        <w:rPr>
          <w:rFonts w:ascii="宋体" w:hAnsi="宋体" w:eastAsia="宋体" w:cs="宋体"/>
          <w:b/>
          <w:color w:val="auto"/>
          <w:sz w:val="32"/>
          <w:highlight w:val="none"/>
        </w:rPr>
      </w:r>
      <w:r/>
    </w:p>
    <w:p>
      <w:pPr>
        <w:rPr>
          <w:rFonts w:ascii="宋体" w:hAnsi="宋体"/>
          <w:b/>
          <w:color w:val="auto"/>
          <w:sz w:val="36"/>
          <w:szCs w:val="36"/>
          <w:highlight w:val="none"/>
        </w:rPr>
      </w:pPr>
      <w:r>
        <w:rPr>
          <w:rFonts w:hint="eastAsia" w:ascii="宋体" w:hAnsi="宋体"/>
          <w:b/>
          <w:color w:val="auto"/>
          <w:sz w:val="36"/>
          <w:szCs w:val="36"/>
          <w:highlight w:val="none"/>
        </w:rPr>
        <w:br w:type="page" w:clear="all"/>
      </w:r>
      <w:r/>
    </w:p>
    <w:p>
      <w:pPr>
        <w:pStyle w:val="951"/>
        <w:jc w:val="center"/>
        <w:spacing w:before="320" w:after="320"/>
        <w:rPr>
          <w:rFonts w:ascii="宋体" w:hAnsi="宋体"/>
          <w:b/>
          <w:color w:val="auto"/>
          <w:sz w:val="36"/>
          <w:szCs w:val="36"/>
          <w:highlight w:val="none"/>
        </w:rPr>
      </w:pPr>
      <w:r>
        <w:rPr>
          <w:rFonts w:hint="eastAsia" w:ascii="宋体" w:hAnsi="宋体"/>
          <w:b/>
          <w:color w:val="auto"/>
          <w:sz w:val="36"/>
          <w:szCs w:val="36"/>
          <w:highlight w:val="none"/>
        </w:rPr>
        <w:t xml:space="preserve">五、价格折扣文件格式</w:t>
      </w:r>
      <w:r/>
    </w:p>
    <w:p>
      <w:pPr>
        <w:ind w:firstLine="506"/>
        <w:jc w:val="center"/>
        <w:spacing w:line="360" w:lineRule="auto"/>
        <w:widowControl/>
        <w:rPr>
          <w:rFonts w:ascii="宋体" w:hAnsi="宋体"/>
          <w:b/>
          <w:color w:val="auto"/>
          <w:spacing w:val="6"/>
          <w:sz w:val="24"/>
          <w:highlight w:val="none"/>
        </w:rPr>
        <w:outlineLvl w:val="2"/>
      </w:pPr>
      <w:r/>
      <w:bookmarkStart w:id="116" w:name="_Toc83"/>
      <w:r>
        <w:rPr>
          <w:rFonts w:ascii="宋体" w:hAnsi="宋体"/>
          <w:b/>
          <w:color w:val="auto"/>
          <w:spacing w:val="6"/>
          <w:sz w:val="24"/>
          <w:highlight w:val="none"/>
        </w:rPr>
        <w:t xml:space="preserve">(一)中小企业声明函</w:t>
      </w:r>
      <w:bookmarkEnd w:id="116"/>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 1.</w:t>
      </w:r>
      <w:r>
        <w:rPr>
          <w:rFonts w:ascii="宋体" w:hAnsi="宋体"/>
          <w:color w:val="auto"/>
          <w:spacing w:val="6"/>
          <w:sz w:val="24"/>
          <w:highlight w:val="none"/>
          <w:u w:val="single"/>
        </w:rPr>
        <w:t xml:space="preserve"> （标的名称）</w:t>
      </w:r>
      <w:r>
        <w:rPr>
          <w:rFonts w:ascii="宋体" w:hAnsi="宋体"/>
          <w:color w:val="auto"/>
          <w:spacing w:val="6"/>
          <w:sz w:val="24"/>
          <w:highlight w:val="none"/>
        </w:rPr>
        <w:t xml:space="preserve"> ，属于</w:t>
      </w:r>
      <w:r>
        <w:rPr>
          <w:rFonts w:ascii="宋体" w:hAnsi="宋体"/>
          <w:color w:val="auto"/>
          <w:spacing w:val="6"/>
          <w:sz w:val="24"/>
          <w:highlight w:val="none"/>
          <w:u w:val="single"/>
        </w:rPr>
        <w:t xml:space="preserve">（采购文件中明确的所属行业）</w:t>
      </w:r>
      <w:r>
        <w:rPr>
          <w:rFonts w:ascii="宋体" w:hAnsi="宋体"/>
          <w:color w:val="auto"/>
          <w:spacing w:val="6"/>
          <w:sz w:val="24"/>
          <w:highlight w:val="none"/>
        </w:rPr>
        <w:t xml:space="preserve">；承接企业为</w:t>
      </w:r>
      <w:r>
        <w:rPr>
          <w:rFonts w:ascii="宋体" w:hAnsi="宋体"/>
          <w:color w:val="auto"/>
          <w:spacing w:val="6"/>
          <w:sz w:val="24"/>
          <w:highlight w:val="none"/>
          <w:u w:val="single"/>
        </w:rPr>
        <w:t xml:space="preserve">（企业名称）</w:t>
      </w:r>
      <w:r>
        <w:rPr>
          <w:rFonts w:ascii="宋体" w:hAnsi="宋体"/>
          <w:color w:val="auto"/>
          <w:spacing w:val="6"/>
          <w:sz w:val="24"/>
          <w:highlight w:val="none"/>
        </w:rPr>
        <w:t xml:space="preserve">，从业人员</w:t>
      </w:r>
      <w:r>
        <w:rPr>
          <w:rFonts w:hint="eastAsia" w:ascii="宋体" w:hAnsi="宋体"/>
          <w:color w:val="auto"/>
          <w:spacing w:val="6"/>
          <w:sz w:val="24"/>
          <w:highlight w:val="none"/>
          <w:u w:val="single"/>
        </w:rPr>
        <w:t xml:space="preserve">    </w:t>
      </w:r>
      <w:r>
        <w:rPr>
          <w:rFonts w:ascii="宋体" w:hAnsi="宋体"/>
          <w:color w:val="auto"/>
          <w:spacing w:val="6"/>
          <w:sz w:val="24"/>
          <w:highlight w:val="none"/>
          <w:u w:val="single"/>
        </w:rPr>
        <w:t xml:space="preserve">人</w:t>
      </w:r>
      <w:r>
        <w:rPr>
          <w:rFonts w:ascii="宋体" w:hAnsi="宋体"/>
          <w:color w:val="auto"/>
          <w:spacing w:val="6"/>
          <w:sz w:val="24"/>
          <w:highlight w:val="none"/>
        </w:rPr>
        <w:t xml:space="preserve">，营业 收入为</w:t>
      </w:r>
      <w:r>
        <w:rPr>
          <w:rFonts w:hint="eastAsia" w:ascii="宋体" w:hAnsi="宋体"/>
          <w:color w:val="auto"/>
          <w:spacing w:val="6"/>
          <w:sz w:val="24"/>
          <w:highlight w:val="none"/>
          <w:u w:val="single"/>
        </w:rPr>
        <w:t xml:space="preserve">    </w:t>
      </w:r>
      <w:r>
        <w:rPr>
          <w:rFonts w:ascii="宋体" w:hAnsi="宋体"/>
          <w:color w:val="auto"/>
          <w:spacing w:val="6"/>
          <w:sz w:val="24"/>
          <w:highlight w:val="none"/>
          <w:u w:val="single"/>
        </w:rPr>
        <w:t xml:space="preserve">万元</w:t>
      </w:r>
      <w:r>
        <w:rPr>
          <w:rFonts w:ascii="宋体" w:hAnsi="宋体"/>
          <w:color w:val="auto"/>
          <w:spacing w:val="6"/>
          <w:sz w:val="24"/>
          <w:highlight w:val="none"/>
        </w:rPr>
        <w:t xml:space="preserve">，资产总额为</w:t>
      </w:r>
      <w:r>
        <w:rPr>
          <w:rFonts w:hint="eastAsia" w:ascii="宋体" w:hAnsi="宋体"/>
          <w:color w:val="auto"/>
          <w:spacing w:val="6"/>
          <w:sz w:val="24"/>
          <w:highlight w:val="none"/>
          <w:u w:val="single"/>
        </w:rPr>
        <w:t xml:space="preserve">    </w:t>
      </w:r>
      <w:r>
        <w:rPr>
          <w:rFonts w:ascii="宋体" w:hAnsi="宋体"/>
          <w:color w:val="auto"/>
          <w:spacing w:val="6"/>
          <w:sz w:val="24"/>
          <w:highlight w:val="none"/>
          <w:u w:val="single"/>
        </w:rPr>
        <w:t xml:space="preserve">万元</w:t>
      </w:r>
      <w:r>
        <w:rPr>
          <w:rFonts w:ascii="宋体" w:hAnsi="宋体"/>
          <w:color w:val="auto"/>
          <w:spacing w:val="6"/>
          <w:sz w:val="24"/>
          <w:highlight w:val="none"/>
        </w:rPr>
        <w:t xml:space="preserve">，属于</w:t>
      </w:r>
      <w:r>
        <w:rPr>
          <w:rFonts w:hint="eastAsia" w:ascii="宋体" w:hAnsi="宋体"/>
          <w:color w:val="auto"/>
          <w:spacing w:val="6"/>
          <w:sz w:val="24"/>
          <w:highlight w:val="none"/>
          <w:u w:val="single"/>
        </w:rPr>
        <w:t xml:space="preserve">    </w:t>
      </w:r>
      <w:r>
        <w:rPr>
          <w:rFonts w:ascii="宋体" w:hAnsi="宋体"/>
          <w:color w:val="auto"/>
          <w:spacing w:val="6"/>
          <w:sz w:val="24"/>
          <w:highlight w:val="none"/>
          <w:u w:val="single"/>
        </w:rPr>
        <w:t xml:space="preserve">（</w:t>
      </w:r>
      <w:r>
        <w:rPr>
          <w:rFonts w:hint="eastAsia" w:ascii="宋体" w:hAnsi="宋体" w:cs="宋体"/>
          <w:color w:val="auto"/>
          <w:spacing w:val="1"/>
          <w:sz w:val="24"/>
          <w:highlight w:val="none"/>
        </w:rPr>
        <w:t xml:space="preserve">□</w:t>
      </w:r>
      <w:r>
        <w:rPr>
          <w:rFonts w:ascii="宋体" w:hAnsi="宋体"/>
          <w:color w:val="auto"/>
          <w:spacing w:val="6"/>
          <w:sz w:val="24"/>
          <w:highlight w:val="none"/>
          <w:u w:val="single"/>
        </w:rPr>
        <w:t xml:space="preserve">中型企业、</w:t>
      </w:r>
      <w:r>
        <w:rPr>
          <w:rFonts w:hint="eastAsia" w:ascii="宋体" w:hAnsi="宋体" w:cs="宋体"/>
          <w:color w:val="auto"/>
          <w:spacing w:val="1"/>
          <w:sz w:val="24"/>
          <w:highlight w:val="none"/>
        </w:rPr>
        <w:t xml:space="preserve">□</w:t>
      </w:r>
      <w:r>
        <w:rPr>
          <w:rFonts w:ascii="宋体" w:hAnsi="宋体"/>
          <w:color w:val="auto"/>
          <w:spacing w:val="6"/>
          <w:sz w:val="24"/>
          <w:highlight w:val="none"/>
          <w:u w:val="single"/>
        </w:rPr>
        <w:t xml:space="preserve"> 小型企业、</w:t>
      </w:r>
      <w:r>
        <w:rPr>
          <w:rFonts w:hint="eastAsia" w:ascii="宋体" w:hAnsi="宋体" w:cs="宋体"/>
          <w:color w:val="auto"/>
          <w:spacing w:val="1"/>
          <w:sz w:val="24"/>
          <w:highlight w:val="none"/>
        </w:rPr>
        <w:t xml:space="preserve">□</w:t>
      </w:r>
      <w:r>
        <w:rPr>
          <w:rFonts w:ascii="宋体" w:hAnsi="宋体"/>
          <w:color w:val="auto"/>
          <w:spacing w:val="6"/>
          <w:sz w:val="24"/>
          <w:highlight w:val="none"/>
          <w:u w:val="single"/>
        </w:rPr>
        <w:t xml:space="preserve">微型企业）</w:t>
      </w:r>
      <w:r>
        <w:rPr>
          <w:rFonts w:ascii="宋体" w:hAnsi="宋体"/>
          <w:color w:val="auto"/>
          <w:spacing w:val="6"/>
          <w:sz w:val="24"/>
          <w:highlight w:val="none"/>
        </w:rPr>
        <w:t xml:space="preserve">； </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2.</w:t>
      </w:r>
      <w:r>
        <w:rPr>
          <w:rFonts w:ascii="宋体" w:hAnsi="宋体"/>
          <w:color w:val="auto"/>
          <w:spacing w:val="6"/>
          <w:sz w:val="24"/>
          <w:highlight w:val="none"/>
          <w:u w:val="single"/>
        </w:rPr>
        <w:t xml:space="preserve"> （标的名称）</w:t>
      </w:r>
      <w:r>
        <w:rPr>
          <w:rFonts w:ascii="宋体" w:hAnsi="宋体"/>
          <w:color w:val="auto"/>
          <w:spacing w:val="6"/>
          <w:sz w:val="24"/>
          <w:highlight w:val="none"/>
        </w:rPr>
        <w:t xml:space="preserve"> ，属于</w:t>
      </w:r>
      <w:r>
        <w:rPr>
          <w:rFonts w:ascii="宋体" w:hAnsi="宋体"/>
          <w:color w:val="auto"/>
          <w:spacing w:val="6"/>
          <w:sz w:val="24"/>
          <w:highlight w:val="none"/>
          <w:u w:val="single"/>
        </w:rPr>
        <w:t xml:space="preserve">（采购文件中明确的所属行业）</w:t>
      </w:r>
      <w:r>
        <w:rPr>
          <w:rFonts w:ascii="宋体" w:hAnsi="宋体"/>
          <w:color w:val="auto"/>
          <w:spacing w:val="6"/>
          <w:sz w:val="24"/>
          <w:highlight w:val="none"/>
        </w:rPr>
        <w:t xml:space="preserve">；承接企业为</w:t>
      </w:r>
      <w:r>
        <w:rPr>
          <w:rFonts w:ascii="宋体" w:hAnsi="宋体"/>
          <w:color w:val="auto"/>
          <w:spacing w:val="6"/>
          <w:sz w:val="24"/>
          <w:highlight w:val="none"/>
          <w:u w:val="single"/>
        </w:rPr>
        <w:t xml:space="preserve">（企业名称）</w:t>
      </w:r>
      <w:r>
        <w:rPr>
          <w:rFonts w:ascii="宋体" w:hAnsi="宋体"/>
          <w:color w:val="auto"/>
          <w:spacing w:val="6"/>
          <w:sz w:val="24"/>
          <w:highlight w:val="none"/>
        </w:rPr>
        <w:t xml:space="preserve">，从业人员</w:t>
      </w:r>
      <w:r>
        <w:rPr>
          <w:rFonts w:hint="eastAsia" w:ascii="宋体" w:hAnsi="宋体"/>
          <w:color w:val="auto"/>
          <w:spacing w:val="6"/>
          <w:sz w:val="24"/>
          <w:highlight w:val="none"/>
          <w:u w:val="single"/>
        </w:rPr>
        <w:t xml:space="preserve">    </w:t>
      </w:r>
      <w:r>
        <w:rPr>
          <w:rFonts w:ascii="宋体" w:hAnsi="宋体"/>
          <w:color w:val="auto"/>
          <w:spacing w:val="6"/>
          <w:sz w:val="24"/>
          <w:highlight w:val="none"/>
          <w:u w:val="single"/>
        </w:rPr>
        <w:t xml:space="preserve">人</w:t>
      </w:r>
      <w:r>
        <w:rPr>
          <w:rFonts w:ascii="宋体" w:hAnsi="宋体"/>
          <w:color w:val="auto"/>
          <w:spacing w:val="6"/>
          <w:sz w:val="24"/>
          <w:highlight w:val="none"/>
        </w:rPr>
        <w:t xml:space="preserve">，营业 收入为</w:t>
      </w:r>
      <w:r>
        <w:rPr>
          <w:rFonts w:hint="eastAsia" w:ascii="宋体" w:hAnsi="宋体"/>
          <w:color w:val="auto"/>
          <w:spacing w:val="6"/>
          <w:sz w:val="24"/>
          <w:highlight w:val="none"/>
          <w:u w:val="single"/>
        </w:rPr>
        <w:t xml:space="preserve">    </w:t>
      </w:r>
      <w:r>
        <w:rPr>
          <w:rFonts w:ascii="宋体" w:hAnsi="宋体"/>
          <w:color w:val="auto"/>
          <w:spacing w:val="6"/>
          <w:sz w:val="24"/>
          <w:highlight w:val="none"/>
          <w:u w:val="single"/>
        </w:rPr>
        <w:t xml:space="preserve">万元</w:t>
      </w:r>
      <w:r>
        <w:rPr>
          <w:rFonts w:ascii="宋体" w:hAnsi="宋体"/>
          <w:color w:val="auto"/>
          <w:spacing w:val="6"/>
          <w:sz w:val="24"/>
          <w:highlight w:val="none"/>
        </w:rPr>
        <w:t xml:space="preserve">，资产总额为</w:t>
      </w:r>
      <w:r>
        <w:rPr>
          <w:rFonts w:hint="eastAsia" w:ascii="宋体" w:hAnsi="宋体"/>
          <w:color w:val="auto"/>
          <w:spacing w:val="6"/>
          <w:sz w:val="24"/>
          <w:highlight w:val="none"/>
          <w:u w:val="single"/>
        </w:rPr>
        <w:t xml:space="preserve">    </w:t>
      </w:r>
      <w:r>
        <w:rPr>
          <w:rFonts w:ascii="宋体" w:hAnsi="宋体"/>
          <w:color w:val="auto"/>
          <w:spacing w:val="6"/>
          <w:sz w:val="24"/>
          <w:highlight w:val="none"/>
          <w:u w:val="single"/>
        </w:rPr>
        <w:t xml:space="preserve">万元</w:t>
      </w:r>
      <w:r>
        <w:rPr>
          <w:rFonts w:ascii="宋体" w:hAnsi="宋体"/>
          <w:color w:val="auto"/>
          <w:spacing w:val="6"/>
          <w:sz w:val="24"/>
          <w:highlight w:val="none"/>
        </w:rPr>
        <w:t xml:space="preserve">，属于</w:t>
      </w:r>
      <w:r>
        <w:rPr>
          <w:rFonts w:hint="eastAsia" w:ascii="宋体" w:hAnsi="宋体"/>
          <w:color w:val="auto"/>
          <w:spacing w:val="6"/>
          <w:sz w:val="24"/>
          <w:highlight w:val="none"/>
          <w:u w:val="single"/>
        </w:rPr>
        <w:t xml:space="preserve">    </w:t>
      </w:r>
      <w:r>
        <w:rPr>
          <w:rFonts w:ascii="宋体" w:hAnsi="宋体"/>
          <w:color w:val="auto"/>
          <w:spacing w:val="6"/>
          <w:sz w:val="24"/>
          <w:highlight w:val="none"/>
          <w:u w:val="single"/>
        </w:rPr>
        <w:t xml:space="preserve">（</w:t>
      </w:r>
      <w:r>
        <w:rPr>
          <w:rFonts w:hint="eastAsia" w:ascii="宋体" w:hAnsi="宋体" w:cs="宋体"/>
          <w:color w:val="auto"/>
          <w:spacing w:val="1"/>
          <w:sz w:val="24"/>
          <w:highlight w:val="none"/>
        </w:rPr>
        <w:t xml:space="preserve">□</w:t>
      </w:r>
      <w:r>
        <w:rPr>
          <w:rFonts w:ascii="宋体" w:hAnsi="宋体"/>
          <w:color w:val="auto"/>
          <w:spacing w:val="6"/>
          <w:sz w:val="24"/>
          <w:highlight w:val="none"/>
          <w:u w:val="single"/>
        </w:rPr>
        <w:t xml:space="preserve">中型企业、</w:t>
      </w:r>
      <w:r>
        <w:rPr>
          <w:rFonts w:hint="eastAsia" w:ascii="宋体" w:hAnsi="宋体" w:cs="宋体"/>
          <w:color w:val="auto"/>
          <w:spacing w:val="1"/>
          <w:sz w:val="24"/>
          <w:highlight w:val="none"/>
        </w:rPr>
        <w:t xml:space="preserve">□</w:t>
      </w:r>
      <w:r>
        <w:rPr>
          <w:rFonts w:ascii="宋体" w:hAnsi="宋体"/>
          <w:color w:val="auto"/>
          <w:spacing w:val="6"/>
          <w:sz w:val="24"/>
          <w:highlight w:val="none"/>
          <w:u w:val="single"/>
        </w:rPr>
        <w:t xml:space="preserve"> 小型企业、</w:t>
      </w:r>
      <w:r>
        <w:rPr>
          <w:rFonts w:hint="eastAsia" w:ascii="宋体" w:hAnsi="宋体" w:cs="宋体"/>
          <w:color w:val="auto"/>
          <w:spacing w:val="1"/>
          <w:sz w:val="24"/>
          <w:highlight w:val="none"/>
        </w:rPr>
        <w:t xml:space="preserve">□</w:t>
      </w:r>
      <w:r>
        <w:rPr>
          <w:rFonts w:ascii="宋体" w:hAnsi="宋体"/>
          <w:color w:val="auto"/>
          <w:spacing w:val="6"/>
          <w:sz w:val="24"/>
          <w:highlight w:val="none"/>
          <w:u w:val="single"/>
        </w:rPr>
        <w:t xml:space="preserve">微型企业）</w:t>
      </w:r>
      <w:r>
        <w:rPr>
          <w:rFonts w:ascii="宋体" w:hAnsi="宋体"/>
          <w:color w:val="auto"/>
          <w:spacing w:val="6"/>
          <w:sz w:val="24"/>
          <w:highlight w:val="none"/>
        </w:rPr>
        <w:t xml:space="preserve">； </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 </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以上企业，不属于大企业的分支机构，不存在控股股东为大企业的情形，也不存在与大企业的负责人为同一人的情形。 </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本企业对上述声明内容的真实性负责。如有虚假，将依法承担相应责任。 </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企业名称（盖章）：</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日 期：</w:t>
      </w:r>
      <w:r>
        <w:rPr>
          <w:rFonts w:hint="eastAsia" w:ascii="宋体" w:hAnsi="宋体"/>
          <w:color w:val="auto"/>
          <w:spacing w:val="6"/>
          <w:sz w:val="24"/>
          <w:highlight w:val="none"/>
        </w:rPr>
        <w:t xml:space="preserve">      </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注：</w:t>
      </w:r>
      <w:r>
        <w:rPr>
          <w:rFonts w:ascii="宋体" w:hAnsi="宋体" w:cs="宋体"/>
          <w:color w:val="auto"/>
          <w:sz w:val="24"/>
          <w:highlight w:val="none"/>
        </w:rPr>
        <w:t xml:space="preserve">从业人员、营业收入、资产总额填报上一年度数据，无上一年度数据的新成立企业可不填报。</w:t>
      </w:r>
      <w:r/>
    </w:p>
    <w:p>
      <w:pPr>
        <w:spacing w:line="360" w:lineRule="auto"/>
        <w:widowControl/>
        <w:rPr>
          <w:rFonts w:ascii="宋体" w:hAnsi="宋体" w:cs="宋体"/>
          <w:color w:val="auto"/>
          <w:sz w:val="24"/>
          <w:highlight w:val="none"/>
        </w:rPr>
      </w:pPr>
      <w:r>
        <w:rPr>
          <w:rFonts w:ascii="宋体" w:hAnsi="宋体" w:cs="宋体"/>
          <w:color w:val="auto"/>
          <w:sz w:val="24"/>
          <w:highlight w:val="none"/>
        </w:rPr>
      </w:r>
      <w:r/>
    </w:p>
    <w:p>
      <w:pPr>
        <w:spacing w:line="360" w:lineRule="auto"/>
        <w:widowControl/>
        <w:rPr>
          <w:rFonts w:ascii="宋体" w:hAnsi="宋体" w:cs="宋体"/>
          <w:color w:val="auto"/>
          <w:sz w:val="24"/>
          <w:highlight w:val="none"/>
        </w:rPr>
      </w:pPr>
      <w:r>
        <w:rPr>
          <w:rFonts w:ascii="宋体" w:hAnsi="宋体" w:cs="宋体"/>
          <w:color w:val="auto"/>
          <w:sz w:val="24"/>
          <w:highlight w:val="none"/>
        </w:rPr>
      </w:r>
      <w:r/>
    </w:p>
    <w:p>
      <w:pPr>
        <w:spacing w:line="360" w:lineRule="auto"/>
        <w:widowControl/>
        <w:rPr>
          <w:rFonts w:ascii="宋体" w:hAnsi="宋体" w:cs="宋体"/>
          <w:color w:val="auto"/>
          <w:sz w:val="24"/>
          <w:highlight w:val="none"/>
        </w:rPr>
      </w:pPr>
      <w:r>
        <w:rPr>
          <w:rFonts w:ascii="宋体" w:hAnsi="宋体" w:cs="宋体"/>
          <w:color w:val="auto"/>
          <w:sz w:val="24"/>
          <w:highlight w:val="none"/>
        </w:rPr>
      </w:r>
      <w:r/>
    </w:p>
    <w:p>
      <w:pPr>
        <w:spacing w:line="360" w:lineRule="auto"/>
        <w:widowControl/>
        <w:rPr>
          <w:rFonts w:ascii="宋体" w:hAnsi="宋体" w:cs="宋体"/>
          <w:color w:val="auto"/>
          <w:sz w:val="24"/>
          <w:highlight w:val="none"/>
        </w:rPr>
      </w:pPr>
      <w:r>
        <w:rPr>
          <w:rFonts w:ascii="宋体" w:hAnsi="宋体" w:cs="宋体"/>
          <w:color w:val="auto"/>
          <w:sz w:val="24"/>
          <w:highlight w:val="none"/>
        </w:rPr>
      </w:r>
      <w:r/>
    </w:p>
    <w:p>
      <w:pPr>
        <w:spacing w:line="360" w:lineRule="auto"/>
        <w:widowControl/>
        <w:rPr>
          <w:rFonts w:ascii="宋体" w:hAnsi="宋体" w:cs="宋体"/>
          <w:color w:val="auto"/>
          <w:sz w:val="24"/>
          <w:highlight w:val="none"/>
        </w:rPr>
      </w:pPr>
      <w:r>
        <w:rPr>
          <w:rFonts w:ascii="宋体" w:hAnsi="宋体" w:cs="宋体"/>
          <w:color w:val="auto"/>
          <w:sz w:val="24"/>
          <w:highlight w:val="none"/>
        </w:rPr>
      </w:r>
      <w:r/>
    </w:p>
    <w:p>
      <w:pPr>
        <w:spacing w:line="360" w:lineRule="auto"/>
        <w:widowControl/>
        <w:rPr>
          <w:rFonts w:ascii="宋体" w:hAnsi="宋体" w:cs="宋体"/>
          <w:color w:val="auto"/>
          <w:sz w:val="24"/>
          <w:highlight w:val="none"/>
        </w:rPr>
      </w:pPr>
      <w:r>
        <w:rPr>
          <w:rFonts w:ascii="宋体" w:hAnsi="宋体" w:cs="宋体"/>
          <w:color w:val="auto"/>
          <w:sz w:val="24"/>
          <w:highlight w:val="none"/>
        </w:rPr>
      </w:r>
      <w:r/>
    </w:p>
    <w:p>
      <w:pPr>
        <w:spacing w:line="360" w:lineRule="auto"/>
        <w:widowControl/>
        <w:rPr>
          <w:rFonts w:ascii="宋体" w:hAnsi="宋体" w:cs="宋体"/>
          <w:color w:val="auto"/>
          <w:sz w:val="24"/>
          <w:highlight w:val="none"/>
        </w:rPr>
      </w:pPr>
      <w:r>
        <w:rPr>
          <w:rFonts w:ascii="宋体" w:hAnsi="宋体" w:cs="宋体"/>
          <w:color w:val="auto"/>
          <w:sz w:val="24"/>
          <w:highlight w:val="none"/>
        </w:rPr>
      </w:r>
      <w:r/>
    </w:p>
    <w:p>
      <w:pPr>
        <w:ind w:firstLine="482"/>
        <w:jc w:val="center"/>
        <w:spacing w:line="360" w:lineRule="auto"/>
        <w:rPr>
          <w:rFonts w:ascii="宋体" w:hAnsi="宋体" w:cs="黑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黑体"/>
          <w:b/>
          <w:color w:val="auto"/>
          <w:sz w:val="24"/>
          <w:highlight w:val="none"/>
        </w:rPr>
      </w:r>
      <w:r/>
    </w:p>
    <w:p>
      <w:pPr>
        <w:ind w:firstLine="482"/>
        <w:jc w:val="center"/>
        <w:spacing w:line="360" w:lineRule="auto"/>
        <w:rPr>
          <w:rFonts w:ascii="宋体" w:hAnsi="宋体" w:cs="黑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黑体"/>
          <w:b/>
          <w:color w:val="auto"/>
          <w:sz w:val="24"/>
          <w:highlight w:val="none"/>
        </w:rPr>
      </w:r>
      <w:r/>
    </w:p>
    <w:p>
      <w:pPr>
        <w:ind w:firstLine="482"/>
        <w:jc w:val="center"/>
        <w:spacing w:line="360" w:lineRule="auto"/>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黑体"/>
          <w:b/>
          <w:color w:val="auto"/>
          <w:sz w:val="24"/>
          <w:highlight w:val="none"/>
        </w:rPr>
        <w:t xml:space="preserve">（二）残疾人福利性单位声明函</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本单位对上述声明的真实性负责。如有虚假，将依法承担相应责任。</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 </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（备注：1、供应商如不提供此声明函，价格将不做相应扣除。2、成交供应商为残疾人福利单位的，此声明函将随成交结果同时公告，接受社会监督）</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 </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          </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r>
      <w:r/>
    </w:p>
    <w:p>
      <w:pPr>
        <w:ind w:firstLine="504"/>
        <w:jc w:val="right"/>
        <w:spacing w:line="360" w:lineRule="auto"/>
        <w:rPr>
          <w:rFonts w:ascii="宋体" w:hAnsi="宋体"/>
          <w:color w:val="auto"/>
          <w:spacing w:val="6"/>
          <w:sz w:val="24"/>
          <w:highlight w:val="none"/>
        </w:rPr>
      </w:pPr>
      <w:r>
        <w:rPr>
          <w:rFonts w:ascii="宋体" w:hAnsi="宋体"/>
          <w:color w:val="auto"/>
          <w:spacing w:val="6"/>
          <w:sz w:val="24"/>
          <w:highlight w:val="none"/>
        </w:rPr>
        <w:t xml:space="preserve"> 供应商全称（加盖CA电子公章）：</w:t>
      </w:r>
      <w:r/>
    </w:p>
    <w:p>
      <w:pPr>
        <w:ind w:firstLine="504"/>
        <w:jc w:val="center"/>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              </w:t>
      </w:r>
      <w:r>
        <w:rPr>
          <w:rFonts w:ascii="宋体" w:hAnsi="宋体"/>
          <w:color w:val="auto"/>
          <w:spacing w:val="6"/>
          <w:sz w:val="24"/>
          <w:highlight w:val="none"/>
        </w:rPr>
        <w:t xml:space="preserve">日期：</w:t>
      </w:r>
      <w:bookmarkEnd w:id="99"/>
      <w:r/>
      <w:r/>
    </w:p>
    <w:p>
      <w:pPr>
        <w:pStyle w:val="881"/>
        <w:rPr>
          <w:rFonts w:ascii="宋体" w:hAnsi="宋体"/>
          <w:color w:val="auto"/>
          <w:spacing w:val="6"/>
          <w:sz w:val="24"/>
          <w:highlight w:val="none"/>
        </w:rPr>
      </w:pPr>
      <w:r>
        <w:rPr>
          <w:rFonts w:ascii="宋体" w:hAnsi="宋体"/>
          <w:color w:val="auto"/>
          <w:spacing w:val="6"/>
          <w:sz w:val="24"/>
          <w:highlight w:val="none"/>
        </w:rPr>
      </w:r>
      <w:r/>
    </w:p>
    <w:p>
      <w:pPr>
        <w:rPr>
          <w:rFonts w:ascii="宋体" w:hAnsi="宋体"/>
          <w:color w:val="auto"/>
          <w:spacing w:val="6"/>
          <w:sz w:val="24"/>
          <w:highlight w:val="none"/>
        </w:rPr>
      </w:pPr>
      <w:r>
        <w:rPr>
          <w:rFonts w:ascii="宋体" w:hAnsi="宋体"/>
          <w:color w:val="auto"/>
          <w:spacing w:val="6"/>
          <w:sz w:val="24"/>
          <w:highlight w:val="none"/>
        </w:rPr>
      </w:r>
      <w:r/>
    </w:p>
    <w:p>
      <w:pPr>
        <w:pStyle w:val="881"/>
        <w:rPr>
          <w:rFonts w:ascii="宋体" w:hAnsi="宋体"/>
          <w:color w:val="auto"/>
          <w:spacing w:val="6"/>
          <w:sz w:val="24"/>
          <w:highlight w:val="none"/>
        </w:rPr>
      </w:pPr>
      <w:r>
        <w:rPr>
          <w:rFonts w:ascii="宋体" w:hAnsi="宋体"/>
          <w:color w:val="auto"/>
          <w:spacing w:val="6"/>
          <w:sz w:val="24"/>
          <w:highlight w:val="none"/>
        </w:rPr>
      </w:r>
      <w:r/>
    </w:p>
    <w:p>
      <w:pPr>
        <w:rPr>
          <w:rFonts w:ascii="宋体" w:hAnsi="宋体"/>
          <w:color w:val="auto"/>
          <w:spacing w:val="6"/>
          <w:sz w:val="24"/>
          <w:highlight w:val="none"/>
        </w:rPr>
      </w:pPr>
      <w:r>
        <w:rPr>
          <w:rFonts w:ascii="宋体" w:hAnsi="宋体"/>
          <w:color w:val="auto"/>
          <w:spacing w:val="6"/>
          <w:sz w:val="24"/>
          <w:highlight w:val="none"/>
        </w:rPr>
      </w:r>
      <w:r/>
    </w:p>
    <w:p>
      <w:pPr>
        <w:pStyle w:val="881"/>
        <w:rPr>
          <w:rFonts w:ascii="宋体" w:hAnsi="宋体"/>
          <w:color w:val="auto"/>
          <w:spacing w:val="6"/>
          <w:sz w:val="24"/>
          <w:highlight w:val="none"/>
        </w:rPr>
      </w:pPr>
      <w:r>
        <w:rPr>
          <w:rFonts w:ascii="宋体" w:hAnsi="宋体"/>
          <w:color w:val="auto"/>
          <w:spacing w:val="6"/>
          <w:sz w:val="24"/>
          <w:highlight w:val="none"/>
        </w:rPr>
      </w:r>
      <w:r/>
    </w:p>
    <w:p>
      <w:pPr>
        <w:rPr>
          <w:rFonts w:ascii="宋体" w:hAnsi="宋体"/>
          <w:color w:val="auto"/>
          <w:spacing w:val="6"/>
          <w:sz w:val="24"/>
          <w:highlight w:val="none"/>
        </w:rPr>
      </w:pPr>
      <w:r>
        <w:rPr>
          <w:rFonts w:ascii="宋体" w:hAnsi="宋体"/>
          <w:color w:val="auto"/>
          <w:spacing w:val="6"/>
          <w:sz w:val="24"/>
          <w:highlight w:val="none"/>
        </w:rPr>
      </w:r>
      <w:r/>
    </w:p>
    <w:p>
      <w:pPr>
        <w:ind w:firstLine="482"/>
        <w:jc w:val="center"/>
        <w:spacing w:line="360" w:lineRule="auto"/>
        <w:rPr>
          <w:rFonts w:ascii="宋体" w:hAnsi="宋体" w:cs="黑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黑体"/>
          <w:b/>
          <w:color w:val="auto"/>
          <w:sz w:val="24"/>
          <w:highlight w:val="none"/>
        </w:rPr>
        <w:t xml:space="preserve">（三）</w:t>
      </w:r>
      <w:r>
        <w:rPr>
          <w:rFonts w:ascii="宋体" w:hAnsi="宋体" w:cs="黑体"/>
          <w:b/>
          <w:color w:val="auto"/>
          <w:sz w:val="24"/>
          <w:highlight w:val="none"/>
        </w:rPr>
        <w:t xml:space="preserve">按招标文件要求供应商所能提供的其他文件</w:t>
      </w:r>
      <w:r/>
    </w:p>
    <w:p>
      <w:pPr>
        <w:pStyle w:val="881"/>
        <w:rPr>
          <w:rFonts w:ascii="宋体" w:hAnsi="宋体"/>
          <w:color w:val="auto"/>
          <w:spacing w:val="6"/>
          <w:sz w:val="24"/>
          <w:highlight w:val="none"/>
        </w:rPr>
      </w:pPr>
      <w:r>
        <w:rPr>
          <w:rFonts w:ascii="宋体" w:hAnsi="宋体"/>
          <w:color w:val="auto"/>
          <w:spacing w:val="6"/>
          <w:sz w:val="24"/>
          <w:highlight w:val="none"/>
        </w:rPr>
      </w:r>
      <w:r/>
    </w:p>
    <w:p>
      <w:pPr>
        <w:rPr>
          <w:rFonts w:ascii="宋体" w:hAnsi="宋体"/>
          <w:color w:val="auto"/>
          <w:spacing w:val="6"/>
          <w:sz w:val="24"/>
          <w:highlight w:val="none"/>
        </w:rPr>
      </w:pPr>
      <w:r>
        <w:rPr>
          <w:rFonts w:ascii="宋体" w:hAnsi="宋体"/>
          <w:color w:val="auto"/>
          <w:spacing w:val="6"/>
          <w:sz w:val="24"/>
          <w:highlight w:val="none"/>
        </w:rPr>
      </w:r>
      <w:r/>
    </w:p>
    <w:p>
      <w:pPr>
        <w:pStyle w:val="881"/>
        <w:rPr>
          <w:rFonts w:ascii="宋体" w:hAnsi="宋体"/>
          <w:color w:val="auto"/>
          <w:spacing w:val="6"/>
          <w:sz w:val="24"/>
          <w:highlight w:val="none"/>
        </w:rPr>
      </w:pPr>
      <w:r>
        <w:rPr>
          <w:rFonts w:ascii="宋体" w:hAnsi="宋体"/>
          <w:color w:val="auto"/>
          <w:spacing w:val="6"/>
          <w:sz w:val="24"/>
          <w:highlight w:val="none"/>
        </w:rPr>
      </w:r>
      <w:r/>
    </w:p>
    <w:p>
      <w:pPr>
        <w:rPr>
          <w:rFonts w:ascii="宋体" w:hAnsi="宋体"/>
          <w:color w:val="auto"/>
          <w:spacing w:val="6"/>
          <w:sz w:val="24"/>
          <w:highlight w:val="none"/>
        </w:rPr>
      </w:pPr>
      <w:r>
        <w:rPr>
          <w:rFonts w:ascii="宋体" w:hAnsi="宋体"/>
          <w:color w:val="auto"/>
          <w:spacing w:val="6"/>
          <w:sz w:val="24"/>
          <w:highlight w:val="none"/>
        </w:rPr>
      </w:r>
      <w:r/>
    </w:p>
    <w:p>
      <w:pPr>
        <w:pStyle w:val="881"/>
        <w:rPr>
          <w:rFonts w:ascii="宋体" w:hAnsi="宋体"/>
          <w:color w:val="auto"/>
          <w:spacing w:val="6"/>
          <w:sz w:val="24"/>
          <w:highlight w:val="none"/>
        </w:rPr>
      </w:pPr>
      <w:r>
        <w:rPr>
          <w:rFonts w:ascii="宋体" w:hAnsi="宋体"/>
          <w:color w:val="auto"/>
          <w:spacing w:val="6"/>
          <w:sz w:val="24"/>
          <w:highlight w:val="none"/>
        </w:rPr>
      </w:r>
      <w:r/>
    </w:p>
    <w:p>
      <w:pPr>
        <w:spacing w:before="240" w:after="240"/>
        <w:rPr>
          <w:rFonts w:ascii="黑体" w:hAnsi="黑体" w:eastAsia="黑体" w:cs="黑体"/>
          <w:b/>
          <w:color w:val="auto"/>
          <w:sz w:val="24"/>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highlight w:val="none"/>
        </w:rPr>
      </w:r>
      <w:r/>
    </w:p>
    <w:sectPr>
      <w:headerReference w:type="default" r:id="rId9"/>
      <w:footerReference w:type="default" r:id="rId10"/>
      <w:footerReference w:type="first" r:id="rId11"/>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隶书">
    <w:panose1 w:val="02010509060101010101"/>
  </w:font>
  <w:font w:name="楷体">
    <w:panose1 w:val="02010609060101010101"/>
  </w:font>
  <w:font w:name="Arial Unicode MS">
    <w:panose1 w:val="020B0604020202020204"/>
  </w:font>
  <w:font w:name="Symbol">
    <w:panose1 w:val="05050102010706020507"/>
  </w:font>
  <w:font w:name="Wingdings">
    <w:panose1 w:val="05000000000000000000"/>
  </w:font>
  <w:font w:name="华文细黑">
    <w:panose1 w:val="02010600040101010101"/>
  </w:font>
  <w:font w:name="Calibri">
    <w:panose1 w:val="020F0502020204030204"/>
  </w:font>
  <w:font w:name="等线">
    <w:panose1 w:val="02010600030101010101"/>
  </w:font>
  <w:font w:name="仿宋">
    <w:panose1 w:val="02010609060101010101"/>
  </w:font>
  <w:font w:name="Courier New">
    <w:panose1 w:val="02070309020205020404"/>
  </w:font>
  <w:font w:name="楷体_GB2312">
    <w:panose1 w:val="02010609060101010101"/>
  </w:font>
  <w:font w:name="幼圆">
    <w:panose1 w:val="02010509060101010101"/>
  </w:font>
  <w:font w:name="黑体">
    <w:panose1 w:val="02010609060101010101"/>
  </w:font>
  <w:font w:name="仿宋_GB2312">
    <w:panose1 w:val="02010609060101010101"/>
  </w:font>
  <w:font w:name="Cambria">
    <w:panose1 w:val="02040503050406030204"/>
  </w:font>
  <w:font w:name="方正黑体_GBK">
    <w:panose1 w:val="020B0503020202020204"/>
  </w:font>
  <w:font w:name="方正仿宋_GBK">
    <w:panose1 w:val="020B0503020202020204"/>
  </w:font>
  <w:font w:name="华文宋体">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55</w:t>
    </w:r>
    <w:r>
      <w:rPr>
        <w:lang w:val="zh-CN"/>
      </w:rPr>
      <w:fldChar w:fldCharType="end"/>
    </w:r>
    <w:r/>
  </w:p>
  <w:p>
    <w:pPr>
      <w:pStyle w:val="8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w:fldChar w:fldCharType="begin"/>
    </w:r>
    <w:r>
      <w:rPr>
        <w:rStyle w:val="883"/>
        <w:highlight w:val="white"/>
      </w:rPr>
      <w:instrText xml:space="preserve"> PAGE </w:instrText>
    </w:r>
    <w:r>
      <w:fldChar w:fldCharType="separate"/>
    </w:r>
    <w:r>
      <w:rPr>
        <w:rStyle w:val="883"/>
        <w:highlight w:val="white"/>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left"/>
      <w:rPr>
        <w:rFonts w:ascii="宋体" w:hAnsi="宋体"/>
        <w:i/>
      </w:rP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893"/>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892"/>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upperLetter"/>
      <w:pStyle w:val="88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color w:val="auto"/>
      </w:rPr>
    </w:lvl>
    <w:lvl w:ilvl="1">
      <w:start w:val="1"/>
      <w:numFmt w:val="bullet"/>
      <w:isLgl w:val="false"/>
      <w:suff w:val="tab"/>
      <w:lvlText w:val=""/>
      <w:lvlJc w:val="left"/>
      <w:pPr>
        <w:ind w:left="0" w:hanging="420"/>
        <w:tabs>
          <w:tab w:val="left" w:pos="0" w:leader="none"/>
        </w:tabs>
      </w:pPr>
      <w:rPr>
        <w:rFonts w:hint="default" w:ascii="Wingdings" w:hAnsi="Wingdings"/>
      </w:rPr>
    </w:lvl>
    <w:lvl w:ilvl="2">
      <w:start w:val="1"/>
      <w:numFmt w:val="bullet"/>
      <w:isLgl w:val="false"/>
      <w:suff w:val="tab"/>
      <w:lvlText w:val=""/>
      <w:lvlJc w:val="left"/>
      <w:pPr>
        <w:ind w:left="420" w:hanging="420"/>
        <w:tabs>
          <w:tab w:val="left" w:pos="420" w:leader="none"/>
        </w:tabs>
      </w:pPr>
      <w:rPr>
        <w:rFonts w:hint="default" w:ascii="Wingdings" w:hAnsi="Wingdings"/>
      </w:rPr>
    </w:lvl>
    <w:lvl w:ilvl="3">
      <w:start w:val="1"/>
      <w:numFmt w:val="bullet"/>
      <w:isLgl w:val="false"/>
      <w:suff w:val="tab"/>
      <w:lvlText w:val=""/>
      <w:lvlJc w:val="left"/>
      <w:pPr>
        <w:ind w:left="840" w:hanging="420"/>
        <w:tabs>
          <w:tab w:val="left" w:pos="840" w:leader="none"/>
        </w:tabs>
      </w:pPr>
      <w:rPr>
        <w:rFonts w:hint="default" w:ascii="Wingdings" w:hAnsi="Wingdings"/>
      </w:rPr>
    </w:lvl>
    <w:lvl w:ilvl="4">
      <w:start w:val="1"/>
      <w:numFmt w:val="bullet"/>
      <w:isLgl w:val="false"/>
      <w:suff w:val="tab"/>
      <w:lvlText w:val=""/>
      <w:lvlJc w:val="left"/>
      <w:pPr>
        <w:ind w:left="1260" w:hanging="420"/>
        <w:tabs>
          <w:tab w:val="left" w:pos="1260" w:leader="none"/>
        </w:tabs>
      </w:pPr>
      <w:rPr>
        <w:rFonts w:hint="default" w:ascii="Wingdings" w:hAnsi="Wingdings"/>
      </w:rPr>
    </w:lvl>
    <w:lvl w:ilvl="5">
      <w:start w:val="1"/>
      <w:numFmt w:val="bullet"/>
      <w:isLgl w:val="false"/>
      <w:suff w:val="tab"/>
      <w:lvlText w:val="-"/>
      <w:lvlJc w:val="left"/>
      <w:pPr>
        <w:ind w:left="1680" w:hanging="420"/>
        <w:tabs>
          <w:tab w:val="left" w:pos="1680" w:leader="none"/>
        </w:tabs>
      </w:pPr>
      <w:rPr>
        <w:rFonts w:hint="eastAsia" w:ascii="Arial Unicode MS" w:hAnsi="Arial Unicode MS" w:eastAsia="Arial Unicode MS"/>
      </w:rPr>
    </w:lvl>
    <w:lvl w:ilvl="6">
      <w:start w:val="1"/>
      <w:numFmt w:val="bullet"/>
      <w:isLgl w:val="false"/>
      <w:suff w:val="tab"/>
      <w:lvlText w:val=""/>
      <w:lvlJc w:val="left"/>
      <w:pPr>
        <w:ind w:left="2100" w:hanging="420"/>
        <w:tabs>
          <w:tab w:val="left" w:pos="2100" w:leader="none"/>
        </w:tabs>
      </w:pPr>
      <w:rPr>
        <w:rFonts w:hint="default" w:ascii="Wingdings" w:hAnsi="Wingdings"/>
      </w:rPr>
    </w:lvl>
    <w:lvl w:ilvl="7">
      <w:start w:val="1"/>
      <w:numFmt w:val="bullet"/>
      <w:isLgl w:val="false"/>
      <w:suff w:val="tab"/>
      <w:lvlText w:val=""/>
      <w:lvlJc w:val="left"/>
      <w:pPr>
        <w:ind w:left="2520" w:hanging="420"/>
        <w:tabs>
          <w:tab w:val="left" w:pos="2520" w:leader="none"/>
        </w:tabs>
      </w:pPr>
      <w:rPr>
        <w:rFonts w:hint="default" w:ascii="Wingdings" w:hAnsi="Wingdings"/>
      </w:rPr>
    </w:lvl>
    <w:lvl w:ilvl="8">
      <w:start w:val="1"/>
      <w:numFmt w:val="bullet"/>
      <w:isLgl w:val="false"/>
      <w:suff w:val="tab"/>
      <w:lvlText w:val=""/>
      <w:lvlJc w:val="left"/>
      <w:pPr>
        <w:ind w:left="2940" w:hanging="420"/>
        <w:tabs>
          <w:tab w:val="left" w:pos="2940" w:leader="none"/>
        </w:tabs>
      </w:pPr>
      <w:rPr>
        <w:rFonts w:hint="default" w:ascii="Wingdings" w:hAnsi="Wingdings"/>
      </w:rPr>
    </w:lvl>
  </w:abstractNum>
  <w:abstractNum w:abstractNumId="5">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662"/>
    <w:link w:val="654"/>
    <w:uiPriority w:val="9"/>
    <w:rPr>
      <w:rFonts w:ascii="Arial" w:hAnsi="Arial" w:eastAsia="Arial" w:cs="Arial"/>
      <w:sz w:val="34"/>
    </w:rPr>
  </w:style>
  <w:style w:type="character" w:styleId="19">
    <w:name w:val="Heading 4 Char"/>
    <w:basedOn w:val="662"/>
    <w:link w:val="656"/>
    <w:uiPriority w:val="9"/>
    <w:rPr>
      <w:rFonts w:ascii="Arial" w:hAnsi="Arial" w:eastAsia="Arial" w:cs="Arial"/>
      <w:b/>
      <w:bCs/>
      <w:sz w:val="26"/>
      <w:szCs w:val="26"/>
    </w:rPr>
  </w:style>
  <w:style w:type="character" w:styleId="21">
    <w:name w:val="Heading 5 Char"/>
    <w:basedOn w:val="662"/>
    <w:link w:val="657"/>
    <w:uiPriority w:val="9"/>
    <w:rPr>
      <w:rFonts w:ascii="Arial" w:hAnsi="Arial" w:eastAsia="Arial" w:cs="Arial"/>
      <w:b/>
      <w:bCs/>
      <w:sz w:val="24"/>
      <w:szCs w:val="24"/>
    </w:rPr>
  </w:style>
  <w:style w:type="character" w:styleId="23">
    <w:name w:val="Heading 6 Char"/>
    <w:basedOn w:val="662"/>
    <w:link w:val="658"/>
    <w:uiPriority w:val="9"/>
    <w:rPr>
      <w:rFonts w:ascii="Arial" w:hAnsi="Arial" w:eastAsia="Arial" w:cs="Arial"/>
      <w:b/>
      <w:bCs/>
      <w:sz w:val="22"/>
      <w:szCs w:val="22"/>
    </w:rPr>
  </w:style>
  <w:style w:type="character" w:styleId="25">
    <w:name w:val="Heading 7 Char"/>
    <w:basedOn w:val="662"/>
    <w:link w:val="659"/>
    <w:uiPriority w:val="9"/>
    <w:rPr>
      <w:rFonts w:ascii="Arial" w:hAnsi="Arial" w:eastAsia="Arial" w:cs="Arial"/>
      <w:b/>
      <w:bCs/>
      <w:i/>
      <w:iCs/>
      <w:sz w:val="22"/>
      <w:szCs w:val="22"/>
    </w:rPr>
  </w:style>
  <w:style w:type="character" w:styleId="27">
    <w:name w:val="Heading 8 Char"/>
    <w:basedOn w:val="662"/>
    <w:link w:val="660"/>
    <w:uiPriority w:val="9"/>
    <w:rPr>
      <w:rFonts w:ascii="Arial" w:hAnsi="Arial" w:eastAsia="Arial" w:cs="Arial"/>
      <w:i/>
      <w:iCs/>
      <w:sz w:val="22"/>
      <w:szCs w:val="22"/>
    </w:rPr>
  </w:style>
  <w:style w:type="character" w:styleId="29">
    <w:name w:val="Heading 9 Char"/>
    <w:basedOn w:val="662"/>
    <w:link w:val="661"/>
    <w:uiPriority w:val="9"/>
    <w:rPr>
      <w:rFonts w:ascii="Arial" w:hAnsi="Arial" w:eastAsia="Arial" w:cs="Arial"/>
      <w:i/>
      <w:iCs/>
      <w:sz w:val="21"/>
      <w:szCs w:val="21"/>
    </w:rPr>
  </w:style>
  <w:style w:type="character" w:styleId="34">
    <w:name w:val="Title Char"/>
    <w:basedOn w:val="662"/>
    <w:link w:val="686"/>
    <w:uiPriority w:val="10"/>
    <w:rPr>
      <w:sz w:val="48"/>
      <w:szCs w:val="48"/>
    </w:rPr>
  </w:style>
  <w:style w:type="character" w:styleId="36">
    <w:name w:val="Subtitle Char"/>
    <w:basedOn w:val="662"/>
    <w:link w:val="679"/>
    <w:uiPriority w:val="11"/>
    <w:rPr>
      <w:sz w:val="24"/>
      <w:szCs w:val="24"/>
    </w:rPr>
  </w:style>
  <w:style w:type="character" w:styleId="38">
    <w:name w:val="Quote Char"/>
    <w:link w:val="707"/>
    <w:uiPriority w:val="29"/>
    <w:rPr>
      <w:i/>
    </w:rPr>
  </w:style>
  <w:style w:type="character" w:styleId="40">
    <w:name w:val="Intense Quote Char"/>
    <w:link w:val="709"/>
    <w:uiPriority w:val="30"/>
    <w:rPr>
      <w:i/>
    </w:rPr>
  </w:style>
  <w:style w:type="character" w:styleId="42">
    <w:name w:val="Header Char"/>
    <w:basedOn w:val="662"/>
    <w:link w:val="676"/>
    <w:uiPriority w:val="99"/>
  </w:style>
  <w:style w:type="character" w:styleId="46">
    <w:name w:val="Caption Char"/>
    <w:basedOn w:val="668"/>
    <w:link w:val="675"/>
    <w:uiPriority w:val="99"/>
  </w:style>
  <w:style w:type="table" w:styleId="49">
    <w:name w:val="Plain Table 1"/>
    <w:basedOn w:val="6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80"/>
    <w:uiPriority w:val="99"/>
    <w:rPr>
      <w:sz w:val="18"/>
    </w:rPr>
  </w:style>
  <w:style w:type="character" w:styleId="178">
    <w:name w:val="Endnote Text Char"/>
    <w:link w:val="673"/>
    <w:uiPriority w:val="99"/>
    <w:rPr>
      <w:sz w:val="20"/>
    </w:rPr>
  </w:style>
  <w:style w:type="paragraph" w:styleId="189">
    <w:name w:val="TOC Heading"/>
    <w:uiPriority w:val="39"/>
    <w:unhideWhenUsed/>
  </w:style>
  <w:style w:type="paragraph" w:styleId="652"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53">
    <w:name w:val="Heading 1"/>
    <w:basedOn w:val="664"/>
    <w:next w:val="664"/>
    <w:uiPriority w:val="0"/>
    <w:qFormat/>
    <w:pPr>
      <w:ind w:firstLine="482"/>
      <w:keepLines/>
      <w:keepNext/>
      <w:outlineLvl w:val="0"/>
    </w:pPr>
    <w:rPr>
      <w:rFonts w:eastAsia="方正黑体_GBK"/>
    </w:rPr>
  </w:style>
  <w:style w:type="paragraph" w:styleId="654">
    <w:name w:val="Heading 2"/>
    <w:basedOn w:val="652"/>
    <w:next w:val="652"/>
    <w:link w:val="695"/>
    <w:uiPriority w:val="9"/>
    <w:unhideWhenUsed/>
    <w:qFormat/>
    <w:pPr>
      <w:keepLines/>
      <w:keepNext/>
      <w:spacing w:before="360" w:after="200"/>
      <w:outlineLvl w:val="1"/>
    </w:pPr>
    <w:rPr>
      <w:rFonts w:ascii="Arial" w:hAnsi="Arial" w:eastAsia="Arial" w:cs="Arial"/>
      <w:sz w:val="34"/>
    </w:rPr>
  </w:style>
  <w:style w:type="paragraph" w:styleId="655">
    <w:name w:val="Heading 3"/>
    <w:basedOn w:val="652"/>
    <w:next w:val="652"/>
    <w:uiPriority w:val="0"/>
    <w:qFormat/>
    <w:pPr>
      <w:keepLines/>
      <w:keepNext/>
      <w:spacing w:before="260" w:after="260" w:line="416" w:lineRule="auto"/>
      <w:outlineLvl w:val="2"/>
    </w:pPr>
    <w:rPr>
      <w:b/>
      <w:sz w:val="32"/>
      <w:szCs w:val="20"/>
    </w:rPr>
  </w:style>
  <w:style w:type="paragraph" w:styleId="656">
    <w:name w:val="Heading 4"/>
    <w:basedOn w:val="652"/>
    <w:next w:val="652"/>
    <w:link w:val="697"/>
    <w:uiPriority w:val="9"/>
    <w:unhideWhenUsed/>
    <w:qFormat/>
    <w:pPr>
      <w:keepLines/>
      <w:keepNext/>
      <w:spacing w:before="320" w:after="200"/>
      <w:outlineLvl w:val="3"/>
    </w:pPr>
    <w:rPr>
      <w:rFonts w:ascii="Arial" w:hAnsi="Arial" w:eastAsia="Arial" w:cs="Arial"/>
      <w:b/>
      <w:bCs/>
      <w:sz w:val="26"/>
      <w:szCs w:val="26"/>
    </w:rPr>
  </w:style>
  <w:style w:type="paragraph" w:styleId="657">
    <w:name w:val="Heading 5"/>
    <w:basedOn w:val="652"/>
    <w:next w:val="652"/>
    <w:link w:val="698"/>
    <w:uiPriority w:val="9"/>
    <w:unhideWhenUsed/>
    <w:qFormat/>
    <w:pPr>
      <w:keepLines/>
      <w:keepNext/>
      <w:spacing w:before="320" w:after="200"/>
      <w:outlineLvl w:val="4"/>
    </w:pPr>
    <w:rPr>
      <w:rFonts w:ascii="Arial" w:hAnsi="Arial" w:eastAsia="Arial" w:cs="Arial"/>
      <w:b/>
      <w:bCs/>
      <w:sz w:val="24"/>
      <w:szCs w:val="24"/>
    </w:rPr>
  </w:style>
  <w:style w:type="paragraph" w:styleId="658">
    <w:name w:val="Heading 6"/>
    <w:basedOn w:val="652"/>
    <w:next w:val="652"/>
    <w:link w:val="699"/>
    <w:uiPriority w:val="9"/>
    <w:unhideWhenUsed/>
    <w:qFormat/>
    <w:pPr>
      <w:keepLines/>
      <w:keepNext/>
      <w:spacing w:before="320" w:after="200"/>
      <w:outlineLvl w:val="5"/>
    </w:pPr>
    <w:rPr>
      <w:rFonts w:ascii="Arial" w:hAnsi="Arial" w:eastAsia="Arial" w:cs="Arial"/>
      <w:b/>
      <w:bCs/>
      <w:sz w:val="22"/>
    </w:rPr>
  </w:style>
  <w:style w:type="paragraph" w:styleId="659">
    <w:name w:val="Heading 7"/>
    <w:basedOn w:val="652"/>
    <w:next w:val="652"/>
    <w:link w:val="700"/>
    <w:uiPriority w:val="9"/>
    <w:unhideWhenUsed/>
    <w:qFormat/>
    <w:pPr>
      <w:keepLines/>
      <w:keepNext/>
      <w:spacing w:before="320" w:after="200"/>
      <w:outlineLvl w:val="6"/>
    </w:pPr>
    <w:rPr>
      <w:rFonts w:ascii="Arial" w:hAnsi="Arial" w:eastAsia="Arial" w:cs="Arial"/>
      <w:b/>
      <w:bCs/>
      <w:i/>
      <w:iCs/>
      <w:sz w:val="22"/>
    </w:rPr>
  </w:style>
  <w:style w:type="paragraph" w:styleId="660">
    <w:name w:val="Heading 8"/>
    <w:basedOn w:val="652"/>
    <w:next w:val="652"/>
    <w:link w:val="701"/>
    <w:uiPriority w:val="9"/>
    <w:unhideWhenUsed/>
    <w:qFormat/>
    <w:pPr>
      <w:keepLines/>
      <w:keepNext/>
      <w:spacing w:before="320" w:after="200"/>
      <w:outlineLvl w:val="7"/>
    </w:pPr>
    <w:rPr>
      <w:rFonts w:ascii="Arial" w:hAnsi="Arial" w:eastAsia="Arial" w:cs="Arial"/>
      <w:i/>
      <w:iCs/>
      <w:sz w:val="22"/>
    </w:rPr>
  </w:style>
  <w:style w:type="paragraph" w:styleId="661">
    <w:name w:val="Heading 9"/>
    <w:basedOn w:val="652"/>
    <w:next w:val="652"/>
    <w:link w:val="702"/>
    <w:uiPriority w:val="9"/>
    <w:unhideWhenUsed/>
    <w:qFormat/>
    <w:pPr>
      <w:keepLines/>
      <w:keepNext/>
      <w:spacing w:before="320" w:after="200"/>
      <w:outlineLvl w:val="8"/>
    </w:pPr>
    <w:rPr>
      <w:rFonts w:ascii="Arial" w:hAnsi="Arial" w:eastAsia="Arial" w:cs="Arial"/>
      <w:i/>
      <w:iCs/>
      <w:szCs w:val="21"/>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customStyle="1">
    <w:name w:val="Normal_0"/>
    <w:uiPriority w:val="0"/>
    <w:qFormat/>
    <w:pPr>
      <w:ind w:firstLine="420"/>
      <w:jc w:val="both"/>
      <w:spacing w:line="560" w:lineRule="exact"/>
      <w:widowControl w:val="off"/>
    </w:pPr>
    <w:rPr>
      <w:rFonts w:ascii="Times New Roman" w:hAnsi="Times New Roman" w:eastAsia="方正仿宋_GBK" w:cs="Times New Roman"/>
      <w:sz w:val="32"/>
      <w:szCs w:val="22"/>
      <w:lang w:val="en-US" w:eastAsia="zh-CN" w:bidi="ar-SA"/>
    </w:rPr>
  </w:style>
  <w:style w:type="paragraph" w:styleId="665">
    <w:name w:val="toc 7"/>
    <w:basedOn w:val="652"/>
    <w:next w:val="652"/>
    <w:uiPriority w:val="39"/>
    <w:unhideWhenUsed/>
    <w:qFormat/>
    <w:pPr>
      <w:ind w:left="1701"/>
      <w:spacing w:after="57"/>
    </w:pPr>
  </w:style>
  <w:style w:type="paragraph" w:styleId="666">
    <w:name w:val="Normal Indent"/>
    <w:basedOn w:val="667"/>
    <w:link w:val="938"/>
    <w:uiPriority w:val="0"/>
    <w:unhideWhenUsed/>
    <w:qFormat/>
    <w:pPr>
      <w:ind w:firstLine="420"/>
    </w:pPr>
    <w:rPr>
      <w:sz w:val="20"/>
    </w:rPr>
  </w:style>
  <w:style w:type="paragraph" w:styleId="667" w:customStyle="1">
    <w:name w:val="Normal_18"/>
    <w:uiPriority w:val="0"/>
    <w:qFormat/>
    <w:pPr>
      <w:jc w:val="both"/>
      <w:widowControl w:val="off"/>
    </w:pPr>
    <w:rPr>
      <w:rFonts w:ascii="Times New Roman" w:hAnsi="Times New Roman" w:eastAsia="宋体" w:cs="Times New Roman"/>
      <w:sz w:val="21"/>
      <w:szCs w:val="24"/>
      <w:lang w:val="en-US" w:eastAsia="zh-CN" w:bidi="ar-SA"/>
    </w:rPr>
  </w:style>
  <w:style w:type="paragraph" w:styleId="668">
    <w:name w:val="Caption"/>
    <w:basedOn w:val="652"/>
    <w:next w:val="6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9">
    <w:name w:val="annotation text"/>
    <w:basedOn w:val="652"/>
    <w:uiPriority w:val="99"/>
    <w:semiHidden/>
    <w:unhideWhenUsed/>
    <w:qFormat/>
    <w:pPr>
      <w:jc w:val="left"/>
    </w:pPr>
  </w:style>
  <w:style w:type="paragraph" w:styleId="670">
    <w:name w:val="toc 5"/>
    <w:basedOn w:val="652"/>
    <w:next w:val="652"/>
    <w:uiPriority w:val="39"/>
    <w:unhideWhenUsed/>
    <w:qFormat/>
    <w:pPr>
      <w:ind w:left="1134"/>
      <w:spacing w:after="57"/>
    </w:pPr>
  </w:style>
  <w:style w:type="paragraph" w:styleId="671">
    <w:name w:val="toc 3"/>
    <w:basedOn w:val="652"/>
    <w:next w:val="652"/>
    <w:uiPriority w:val="39"/>
    <w:unhideWhenUsed/>
    <w:qFormat/>
    <w:pPr>
      <w:ind w:left="567"/>
      <w:spacing w:after="57"/>
    </w:pPr>
  </w:style>
  <w:style w:type="paragraph" w:styleId="672">
    <w:name w:val="toc 8"/>
    <w:basedOn w:val="652"/>
    <w:next w:val="652"/>
    <w:uiPriority w:val="39"/>
    <w:unhideWhenUsed/>
    <w:qFormat/>
    <w:pPr>
      <w:ind w:left="1984"/>
      <w:spacing w:after="57"/>
    </w:pPr>
  </w:style>
  <w:style w:type="paragraph" w:styleId="673">
    <w:name w:val="endnote text"/>
    <w:basedOn w:val="652"/>
    <w:link w:val="840"/>
    <w:uiPriority w:val="99"/>
    <w:semiHidden/>
    <w:unhideWhenUsed/>
    <w:qFormat/>
    <w:rPr>
      <w:sz w:val="20"/>
    </w:rPr>
  </w:style>
  <w:style w:type="paragraph" w:styleId="674">
    <w:name w:val="Balloon Text"/>
    <w:basedOn w:val="652"/>
    <w:link w:val="970"/>
    <w:uiPriority w:val="99"/>
    <w:semiHidden/>
    <w:unhideWhenUsed/>
    <w:qFormat/>
    <w:rPr>
      <w:sz w:val="18"/>
      <w:szCs w:val="18"/>
    </w:rPr>
  </w:style>
  <w:style w:type="paragraph" w:styleId="675">
    <w:name w:val="Footer"/>
    <w:basedOn w:val="652"/>
    <w:link w:val="713"/>
    <w:uiPriority w:val="99"/>
    <w:unhideWhenUsed/>
    <w:qFormat/>
    <w:pPr>
      <w:tabs>
        <w:tab w:val="center" w:pos="7143" w:leader="none"/>
        <w:tab w:val="right" w:pos="14287" w:leader="none"/>
      </w:tabs>
    </w:pPr>
  </w:style>
  <w:style w:type="paragraph" w:styleId="676">
    <w:name w:val="Header"/>
    <w:basedOn w:val="652"/>
    <w:link w:val="711"/>
    <w:uiPriority w:val="99"/>
    <w:unhideWhenUsed/>
    <w:qFormat/>
    <w:pPr>
      <w:tabs>
        <w:tab w:val="center" w:pos="7143" w:leader="none"/>
        <w:tab w:val="right" w:pos="14287" w:leader="none"/>
      </w:tabs>
    </w:pPr>
  </w:style>
  <w:style w:type="paragraph" w:styleId="677">
    <w:name w:val="toc 1"/>
    <w:basedOn w:val="652"/>
    <w:next w:val="652"/>
    <w:uiPriority w:val="39"/>
    <w:unhideWhenUsed/>
    <w:qFormat/>
    <w:pPr>
      <w:spacing w:after="57"/>
    </w:pPr>
  </w:style>
  <w:style w:type="paragraph" w:styleId="678">
    <w:name w:val="toc 4"/>
    <w:basedOn w:val="652"/>
    <w:next w:val="652"/>
    <w:uiPriority w:val="39"/>
    <w:unhideWhenUsed/>
    <w:qFormat/>
    <w:pPr>
      <w:ind w:left="850"/>
      <w:spacing w:after="57"/>
    </w:pPr>
  </w:style>
  <w:style w:type="paragraph" w:styleId="679">
    <w:name w:val="Subtitle"/>
    <w:basedOn w:val="652"/>
    <w:next w:val="652"/>
    <w:link w:val="706"/>
    <w:uiPriority w:val="11"/>
    <w:qFormat/>
    <w:pPr>
      <w:spacing w:before="200" w:after="200"/>
    </w:pPr>
    <w:rPr>
      <w:sz w:val="24"/>
      <w:szCs w:val="24"/>
    </w:rPr>
  </w:style>
  <w:style w:type="paragraph" w:styleId="680">
    <w:name w:val="footnote text"/>
    <w:basedOn w:val="652"/>
    <w:link w:val="839"/>
    <w:uiPriority w:val="99"/>
    <w:semiHidden/>
    <w:unhideWhenUsed/>
    <w:qFormat/>
    <w:pPr>
      <w:spacing w:after="40"/>
    </w:pPr>
    <w:rPr>
      <w:sz w:val="18"/>
    </w:rPr>
  </w:style>
  <w:style w:type="paragraph" w:styleId="681">
    <w:name w:val="toc 6"/>
    <w:basedOn w:val="652"/>
    <w:next w:val="652"/>
    <w:uiPriority w:val="39"/>
    <w:unhideWhenUsed/>
    <w:qFormat/>
    <w:pPr>
      <w:ind w:left="1417"/>
      <w:spacing w:after="57"/>
    </w:pPr>
  </w:style>
  <w:style w:type="paragraph" w:styleId="682">
    <w:name w:val="table of figures"/>
    <w:basedOn w:val="652"/>
    <w:next w:val="652"/>
    <w:uiPriority w:val="99"/>
    <w:unhideWhenUsed/>
    <w:qFormat/>
  </w:style>
  <w:style w:type="paragraph" w:styleId="683">
    <w:name w:val="toc 2"/>
    <w:basedOn w:val="652"/>
    <w:next w:val="652"/>
    <w:uiPriority w:val="39"/>
    <w:unhideWhenUsed/>
    <w:qFormat/>
    <w:pPr>
      <w:ind w:left="283"/>
      <w:spacing w:after="57"/>
    </w:pPr>
  </w:style>
  <w:style w:type="paragraph" w:styleId="684">
    <w:name w:val="toc 9"/>
    <w:basedOn w:val="652"/>
    <w:next w:val="652"/>
    <w:uiPriority w:val="39"/>
    <w:unhideWhenUsed/>
    <w:qFormat/>
    <w:pPr>
      <w:ind w:left="2268"/>
      <w:spacing w:after="57"/>
    </w:pPr>
  </w:style>
  <w:style w:type="paragraph" w:styleId="685">
    <w:name w:val="Normal (Web)"/>
    <w:basedOn w:val="652"/>
    <w:uiPriority w:val="99"/>
    <w:unhideWhenUsed/>
    <w:qFormat/>
    <w:pPr>
      <w:jc w:val="left"/>
      <w:spacing w:before="100" w:beforeAutospacing="1" w:after="100" w:afterAutospacing="1"/>
      <w:widowControl/>
    </w:pPr>
    <w:rPr>
      <w:rFonts w:ascii="宋体" w:hAnsi="宋体" w:cs="宋体"/>
      <w:sz w:val="24"/>
    </w:rPr>
  </w:style>
  <w:style w:type="paragraph" w:styleId="686">
    <w:name w:val="Title"/>
    <w:basedOn w:val="652"/>
    <w:next w:val="652"/>
    <w:link w:val="705"/>
    <w:uiPriority w:val="10"/>
    <w:qFormat/>
    <w:pPr>
      <w:contextualSpacing/>
      <w:spacing w:before="300" w:after="200"/>
    </w:pPr>
    <w:rPr>
      <w:sz w:val="48"/>
      <w:szCs w:val="48"/>
    </w:rPr>
  </w:style>
  <w:style w:type="table" w:styleId="68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8">
    <w:name w:val="Strong"/>
    <w:basedOn w:val="662"/>
    <w:uiPriority w:val="22"/>
    <w:qFormat/>
    <w:rPr>
      <w:b/>
    </w:rPr>
  </w:style>
  <w:style w:type="character" w:styleId="689">
    <w:name w:val="endnote reference"/>
    <w:uiPriority w:val="99"/>
    <w:semiHidden/>
    <w:unhideWhenUsed/>
    <w:qFormat/>
    <w:rPr>
      <w:vertAlign w:val="superscript"/>
    </w:rPr>
  </w:style>
  <w:style w:type="character" w:styleId="690">
    <w:name w:val="Hyperlink"/>
    <w:uiPriority w:val="99"/>
    <w:unhideWhenUsed/>
    <w:qFormat/>
    <w:rPr>
      <w:color w:val="0000ff" w:themeColor="hyperlink"/>
      <w:u w:val="single"/>
      <w14:textFill>
        <w14:solidFill>
          <w14:schemeClr w14:val="hlink"/>
        </w14:solidFill>
      </w14:textFill>
    </w:rPr>
  </w:style>
  <w:style w:type="character" w:styleId="691">
    <w:name w:val="annotation reference"/>
    <w:basedOn w:val="662"/>
    <w:uiPriority w:val="99"/>
    <w:semiHidden/>
    <w:unhideWhenUsed/>
    <w:qFormat/>
    <w:rPr>
      <w:sz w:val="21"/>
      <w:szCs w:val="21"/>
    </w:rPr>
  </w:style>
  <w:style w:type="character" w:styleId="692">
    <w:name w:val="footnote reference"/>
    <w:uiPriority w:val="99"/>
    <w:unhideWhenUsed/>
    <w:qFormat/>
    <w:rPr>
      <w:vertAlign w:val="superscript"/>
    </w:rPr>
  </w:style>
  <w:style w:type="paragraph" w:styleId="693" w:customStyle="1">
    <w:name w:val="索引 41"/>
    <w:basedOn w:val="652"/>
    <w:next w:val="652"/>
    <w:uiPriority w:val="0"/>
    <w:unhideWhenUsed/>
    <w:qFormat/>
    <w:pPr>
      <w:ind w:left="600"/>
    </w:pPr>
  </w:style>
  <w:style w:type="character" w:styleId="694" w:customStyle="1">
    <w:name w:val="Heading 1 Char"/>
    <w:uiPriority w:val="9"/>
    <w:qFormat/>
    <w:rPr>
      <w:rFonts w:ascii="Arial" w:hAnsi="Arial" w:eastAsia="Arial" w:cs="Arial"/>
      <w:sz w:val="40"/>
      <w:szCs w:val="40"/>
    </w:rPr>
  </w:style>
  <w:style w:type="character" w:styleId="695" w:customStyle="1">
    <w:name w:val="标题 2 字符"/>
    <w:link w:val="654"/>
    <w:uiPriority w:val="9"/>
    <w:qFormat/>
    <w:rPr>
      <w:rFonts w:ascii="Arial" w:hAnsi="Arial" w:eastAsia="Arial" w:cs="Arial"/>
      <w:sz w:val="34"/>
    </w:rPr>
  </w:style>
  <w:style w:type="character" w:styleId="696" w:customStyle="1">
    <w:name w:val="Heading 3 Char"/>
    <w:uiPriority w:val="9"/>
    <w:qFormat/>
    <w:rPr>
      <w:rFonts w:ascii="Arial" w:hAnsi="Arial" w:eastAsia="Arial" w:cs="Arial"/>
      <w:sz w:val="30"/>
      <w:szCs w:val="30"/>
    </w:rPr>
  </w:style>
  <w:style w:type="character" w:styleId="697" w:customStyle="1">
    <w:name w:val="标题 4 字符"/>
    <w:link w:val="656"/>
    <w:uiPriority w:val="9"/>
    <w:qFormat/>
    <w:rPr>
      <w:rFonts w:ascii="Arial" w:hAnsi="Arial" w:eastAsia="Arial" w:cs="Arial"/>
      <w:b/>
      <w:bCs/>
      <w:sz w:val="26"/>
      <w:szCs w:val="26"/>
    </w:rPr>
  </w:style>
  <w:style w:type="character" w:styleId="698" w:customStyle="1">
    <w:name w:val="标题 5 字符"/>
    <w:link w:val="657"/>
    <w:uiPriority w:val="9"/>
    <w:qFormat/>
    <w:rPr>
      <w:rFonts w:ascii="Arial" w:hAnsi="Arial" w:eastAsia="Arial" w:cs="Arial"/>
      <w:b/>
      <w:bCs/>
      <w:sz w:val="24"/>
      <w:szCs w:val="24"/>
    </w:rPr>
  </w:style>
  <w:style w:type="character" w:styleId="699" w:customStyle="1">
    <w:name w:val="标题 6 字符"/>
    <w:link w:val="658"/>
    <w:uiPriority w:val="9"/>
    <w:qFormat/>
    <w:rPr>
      <w:rFonts w:ascii="Arial" w:hAnsi="Arial" w:eastAsia="Arial" w:cs="Arial"/>
      <w:b/>
      <w:bCs/>
      <w:sz w:val="22"/>
      <w:szCs w:val="22"/>
    </w:rPr>
  </w:style>
  <w:style w:type="character" w:styleId="700" w:customStyle="1">
    <w:name w:val="标题 7 字符"/>
    <w:link w:val="659"/>
    <w:uiPriority w:val="9"/>
    <w:qFormat/>
    <w:rPr>
      <w:rFonts w:ascii="Arial" w:hAnsi="Arial" w:eastAsia="Arial" w:cs="Arial"/>
      <w:b/>
      <w:bCs/>
      <w:i/>
      <w:iCs/>
      <w:sz w:val="22"/>
      <w:szCs w:val="22"/>
    </w:rPr>
  </w:style>
  <w:style w:type="character" w:styleId="701" w:customStyle="1">
    <w:name w:val="标题 8 字符"/>
    <w:link w:val="660"/>
    <w:uiPriority w:val="9"/>
    <w:qFormat/>
    <w:rPr>
      <w:rFonts w:ascii="Arial" w:hAnsi="Arial" w:eastAsia="Arial" w:cs="Arial"/>
      <w:i/>
      <w:iCs/>
      <w:sz w:val="22"/>
      <w:szCs w:val="22"/>
    </w:rPr>
  </w:style>
  <w:style w:type="character" w:styleId="702" w:customStyle="1">
    <w:name w:val="标题 9 字符"/>
    <w:link w:val="661"/>
    <w:uiPriority w:val="9"/>
    <w:qFormat/>
    <w:rPr>
      <w:rFonts w:ascii="Arial" w:hAnsi="Arial" w:eastAsia="Arial" w:cs="Arial"/>
      <w:i/>
      <w:iCs/>
      <w:sz w:val="21"/>
      <w:szCs w:val="21"/>
    </w:rPr>
  </w:style>
  <w:style w:type="paragraph" w:styleId="703">
    <w:name w:val="List Paragraph"/>
    <w:basedOn w:val="652"/>
    <w:uiPriority w:val="34"/>
    <w:qFormat/>
    <w:pPr>
      <w:contextualSpacing/>
      <w:ind w:left="720"/>
    </w:pPr>
  </w:style>
  <w:style w:type="paragraph" w:styleId="704">
    <w:name w:val="No Spacing"/>
    <w:uiPriority w:val="1"/>
    <w:qFormat/>
    <w:rPr>
      <w:rFonts w:ascii="Times New Roman" w:hAnsi="Times New Roman" w:eastAsia="宋体" w:cs="Times New Roman"/>
      <w:lang w:val="en-US" w:eastAsia="zh-CN" w:bidi="ar-SA"/>
    </w:rPr>
  </w:style>
  <w:style w:type="character" w:styleId="705" w:customStyle="1">
    <w:name w:val="标题 字符"/>
    <w:link w:val="686"/>
    <w:uiPriority w:val="10"/>
    <w:qFormat/>
    <w:rPr>
      <w:sz w:val="48"/>
      <w:szCs w:val="48"/>
    </w:rPr>
  </w:style>
  <w:style w:type="character" w:styleId="706" w:customStyle="1">
    <w:name w:val="副标题 字符"/>
    <w:link w:val="679"/>
    <w:uiPriority w:val="11"/>
    <w:qFormat/>
    <w:rPr>
      <w:sz w:val="24"/>
      <w:szCs w:val="24"/>
    </w:rPr>
  </w:style>
  <w:style w:type="paragraph" w:styleId="707">
    <w:name w:val="Quote"/>
    <w:basedOn w:val="652"/>
    <w:next w:val="652"/>
    <w:link w:val="708"/>
    <w:uiPriority w:val="29"/>
    <w:qFormat/>
    <w:pPr>
      <w:ind w:left="720" w:right="720"/>
    </w:pPr>
    <w:rPr>
      <w:i/>
    </w:rPr>
  </w:style>
  <w:style w:type="character" w:styleId="708" w:customStyle="1">
    <w:name w:val="引用 字符"/>
    <w:link w:val="707"/>
    <w:uiPriority w:val="29"/>
    <w:qFormat/>
    <w:rPr>
      <w:i/>
    </w:rPr>
  </w:style>
  <w:style w:type="paragraph" w:styleId="709">
    <w:name w:val="Intense Quote"/>
    <w:basedOn w:val="652"/>
    <w:next w:val="652"/>
    <w:link w:val="7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customStyle="1">
    <w:name w:val="明显引用 字符"/>
    <w:link w:val="709"/>
    <w:uiPriority w:val="30"/>
    <w:qFormat/>
    <w:rPr>
      <w:i/>
    </w:rPr>
  </w:style>
  <w:style w:type="character" w:styleId="711" w:customStyle="1">
    <w:name w:val="页眉 字符"/>
    <w:link w:val="676"/>
    <w:uiPriority w:val="99"/>
    <w:qFormat/>
  </w:style>
  <w:style w:type="character" w:styleId="712" w:customStyle="1">
    <w:name w:val="Footer Char"/>
    <w:uiPriority w:val="99"/>
    <w:qFormat/>
  </w:style>
  <w:style w:type="character" w:styleId="713" w:customStyle="1">
    <w:name w:val="页脚 字符"/>
    <w:link w:val="675"/>
    <w:uiPriority w:val="99"/>
    <w:qFormat/>
  </w:style>
  <w:style w:type="table" w:styleId="71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5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9" w:customStyle="1">
    <w:name w:val="脚注文本 字符"/>
    <w:link w:val="680"/>
    <w:uiPriority w:val="99"/>
    <w:qFormat/>
    <w:rPr>
      <w:sz w:val="18"/>
    </w:rPr>
  </w:style>
  <w:style w:type="character" w:styleId="840" w:customStyle="1">
    <w:name w:val="尾注文本 字符"/>
    <w:link w:val="673"/>
    <w:uiPriority w:val="99"/>
    <w:qFormat/>
    <w:rPr>
      <w:sz w:val="20"/>
    </w:rPr>
  </w:style>
  <w:style w:type="paragraph" w:styleId="841" w:customStyle="1">
    <w:name w:val="TOC 标题1"/>
    <w:uiPriority w:val="39"/>
    <w:unhideWhenUsed/>
    <w:qFormat/>
    <w:rPr>
      <w:rFonts w:ascii="Times New Roman" w:hAnsi="Times New Roman" w:eastAsia="宋体" w:cs="Times New Roman"/>
      <w:lang w:val="en-US" w:eastAsia="zh-CN" w:bidi="ar-SA"/>
    </w:rPr>
  </w:style>
  <w:style w:type="paragraph" w:styleId="842" w:customStyle="1">
    <w:name w:val="标题 11"/>
    <w:basedOn w:val="652"/>
    <w:next w:val="652"/>
    <w:link w:val="848"/>
    <w:uiPriority w:val="9"/>
    <w:qFormat/>
    <w:pPr>
      <w:keepLines/>
      <w:keepNext/>
      <w:spacing w:before="340" w:after="330" w:line="578" w:lineRule="atLeast"/>
      <w:outlineLvl w:val="0"/>
    </w:pPr>
    <w:rPr>
      <w:b/>
      <w:bCs/>
      <w:sz w:val="44"/>
      <w:szCs w:val="44"/>
    </w:rPr>
  </w:style>
  <w:style w:type="paragraph" w:styleId="843" w:customStyle="1">
    <w:name w:val="标题 21"/>
    <w:basedOn w:val="652"/>
    <w:next w:val="652"/>
    <w:link w:val="849"/>
    <w:uiPriority w:val="9"/>
    <w:qFormat/>
    <w:pPr>
      <w:jc w:val="center"/>
      <w:keepLines/>
      <w:keepNext/>
      <w:spacing w:before="260" w:after="260" w:line="416" w:lineRule="auto"/>
      <w:outlineLvl w:val="1"/>
    </w:pPr>
    <w:rPr>
      <w:rFonts w:ascii="幼圆" w:hAnsi="Arial" w:eastAsia="楷体_GB2312"/>
      <w:b/>
      <w:sz w:val="24"/>
      <w:szCs w:val="20"/>
    </w:rPr>
  </w:style>
  <w:style w:type="paragraph" w:styleId="844" w:customStyle="1">
    <w:name w:val="标题 31"/>
    <w:basedOn w:val="652"/>
    <w:next w:val="652"/>
    <w:link w:val="850"/>
    <w:uiPriority w:val="9"/>
    <w:qFormat/>
    <w:pPr>
      <w:keepLines/>
      <w:keepNext/>
      <w:spacing w:before="260" w:after="260" w:line="416" w:lineRule="atLeast"/>
      <w:outlineLvl w:val="2"/>
    </w:pPr>
    <w:rPr>
      <w:b/>
      <w:bCs/>
      <w:sz w:val="32"/>
      <w:szCs w:val="32"/>
    </w:rPr>
  </w:style>
  <w:style w:type="paragraph" w:styleId="845" w:customStyle="1">
    <w:name w:val="标题 71"/>
    <w:basedOn w:val="652"/>
    <w:next w:val="652"/>
    <w:link w:val="851"/>
    <w:uiPriority w:val="9"/>
    <w:qFormat/>
    <w:pPr>
      <w:keepLines/>
      <w:keepNext/>
      <w:spacing w:before="240" w:after="64" w:line="320" w:lineRule="atLeast"/>
      <w:outlineLvl w:val="6"/>
    </w:pPr>
    <w:rPr>
      <w:b/>
      <w:bCs/>
      <w:sz w:val="24"/>
      <w:szCs w:val="24"/>
    </w:rPr>
  </w:style>
  <w:style w:type="character" w:styleId="846" w:customStyle="1">
    <w:name w:val="默认段落字体1"/>
    <w:uiPriority w:val="1"/>
    <w:unhideWhenUsed/>
    <w:qFormat/>
  </w:style>
  <w:style w:type="table" w:styleId="847" w:customStyle="1">
    <w:name w:val="普通表格1"/>
    <w:uiPriority w:val="99"/>
    <w:unhideWhenUsed/>
    <w:qFormat/>
    <w:tblPr>
      <w:tblCellMar>
        <w:left w:w="0" w:type="dxa"/>
        <w:top w:w="0" w:type="dxa"/>
        <w:right w:w="0" w:type="dxa"/>
        <w:bottom w:w="0" w:type="dxa"/>
      </w:tblCellMar>
    </w:tblPr>
  </w:style>
  <w:style w:type="character" w:styleId="848" w:customStyle="1">
    <w:name w:val="标题 1 Char"/>
    <w:link w:val="842"/>
    <w:uiPriority w:val="9"/>
    <w:qFormat/>
    <w:rPr>
      <w:b/>
      <w:bCs/>
      <w:sz w:val="44"/>
      <w:szCs w:val="44"/>
    </w:rPr>
  </w:style>
  <w:style w:type="character" w:styleId="849" w:customStyle="1">
    <w:name w:val="标题 2 Char"/>
    <w:link w:val="843"/>
    <w:uiPriority w:val="9"/>
    <w:qFormat/>
    <w:rPr>
      <w:rFonts w:ascii="幼圆" w:hAnsi="Arial" w:eastAsia="楷体_GB2312" w:cs="Times New Roman"/>
      <w:b/>
      <w:sz w:val="24"/>
      <w:szCs w:val="20"/>
    </w:rPr>
  </w:style>
  <w:style w:type="character" w:styleId="850" w:customStyle="1">
    <w:name w:val="标题 3 Char"/>
    <w:link w:val="844"/>
    <w:uiPriority w:val="9"/>
    <w:qFormat/>
    <w:rPr>
      <w:b/>
      <w:bCs/>
      <w:sz w:val="32"/>
      <w:szCs w:val="32"/>
    </w:rPr>
  </w:style>
  <w:style w:type="character" w:styleId="851" w:customStyle="1">
    <w:name w:val="标题 7 Char"/>
    <w:link w:val="845"/>
    <w:uiPriority w:val="9"/>
    <w:semiHidden/>
    <w:qFormat/>
    <w:rPr>
      <w:b/>
      <w:bCs/>
      <w:sz w:val="24"/>
      <w:szCs w:val="24"/>
    </w:rPr>
  </w:style>
  <w:style w:type="paragraph" w:styleId="852" w:customStyle="1">
    <w:name w:val="列表 31"/>
    <w:basedOn w:val="652"/>
    <w:uiPriority w:val="0"/>
    <w:qFormat/>
    <w:pPr>
      <w:ind w:left="100" w:hanging="200"/>
    </w:pPr>
    <w:rPr>
      <w:szCs w:val="21"/>
    </w:rPr>
  </w:style>
  <w:style w:type="paragraph" w:styleId="853" w:customStyle="1">
    <w:name w:val="正文缩进1"/>
    <w:basedOn w:val="652"/>
    <w:link w:val="854"/>
    <w:uiPriority w:val="0"/>
    <w:qFormat/>
    <w:pPr>
      <w:ind w:firstLine="420"/>
    </w:pPr>
    <w:rPr>
      <w:sz w:val="20"/>
      <w:szCs w:val="20"/>
    </w:rPr>
  </w:style>
  <w:style w:type="character" w:styleId="854" w:customStyle="1">
    <w:name w:val="正文缩进 Char"/>
    <w:link w:val="853"/>
    <w:uiPriority w:val="0"/>
    <w:qFormat/>
    <w:rPr>
      <w:rFonts w:ascii="Times New Roman" w:hAnsi="Times New Roman" w:eastAsia="宋体" w:cs="Times New Roman"/>
      <w:szCs w:val="20"/>
    </w:rPr>
  </w:style>
  <w:style w:type="paragraph" w:styleId="855" w:customStyle="1">
    <w:name w:val="批注文字1"/>
    <w:basedOn w:val="856"/>
    <w:link w:val="857"/>
    <w:uiPriority w:val="99"/>
    <w:unhideWhenUsed/>
    <w:qFormat/>
    <w:pPr>
      <w:jc w:val="left"/>
      <w:spacing w:line="360" w:lineRule="auto"/>
    </w:pPr>
    <w:rPr>
      <w:sz w:val="24"/>
      <w:szCs w:val="24"/>
    </w:rPr>
  </w:style>
  <w:style w:type="paragraph" w:styleId="856" w:customStyle="1">
    <w:name w:val="Normal_13"/>
    <w:uiPriority w:val="0"/>
    <w:qFormat/>
    <w:pPr>
      <w:jc w:val="both"/>
      <w:widowControl w:val="off"/>
    </w:pPr>
    <w:rPr>
      <w:rFonts w:ascii="Times New Roman" w:hAnsi="Times New Roman" w:eastAsia="宋体" w:cs="Times New Roman"/>
      <w:sz w:val="21"/>
      <w:szCs w:val="22"/>
      <w:lang w:val="en-US" w:eastAsia="zh-CN" w:bidi="ar-SA"/>
    </w:rPr>
  </w:style>
  <w:style w:type="character" w:styleId="857" w:customStyle="1">
    <w:name w:val="批注文字 Char"/>
    <w:link w:val="855"/>
    <w:uiPriority w:val="99"/>
    <w:qFormat/>
    <w:rPr>
      <w:rFonts w:ascii="Times New Roman" w:hAnsi="Times New Roman"/>
      <w:sz w:val="24"/>
      <w:szCs w:val="24"/>
    </w:rPr>
  </w:style>
  <w:style w:type="paragraph" w:styleId="858" w:customStyle="1">
    <w:name w:val="正文文本1"/>
    <w:basedOn w:val="652"/>
    <w:link w:val="859"/>
    <w:uiPriority w:val="0"/>
    <w:qFormat/>
    <w:rPr>
      <w:rFonts w:ascii="楷体_GB2312" w:hAnsi="Arial" w:eastAsia="楷体_GB2312"/>
      <w:sz w:val="28"/>
      <w:szCs w:val="20"/>
    </w:rPr>
  </w:style>
  <w:style w:type="character" w:styleId="859" w:customStyle="1">
    <w:name w:val="正文文本 Char"/>
    <w:link w:val="858"/>
    <w:uiPriority w:val="0"/>
    <w:qFormat/>
    <w:rPr>
      <w:rFonts w:ascii="楷体_GB2312" w:hAnsi="Arial" w:eastAsia="楷体_GB2312" w:cs="Times New Roman"/>
      <w:sz w:val="28"/>
      <w:szCs w:val="20"/>
    </w:rPr>
  </w:style>
  <w:style w:type="paragraph" w:styleId="860" w:customStyle="1">
    <w:name w:val="正文文本缩进1"/>
    <w:basedOn w:val="652"/>
    <w:next w:val="652"/>
    <w:link w:val="861"/>
    <w:uiPriority w:val="99"/>
    <w:unhideWhenUsed/>
    <w:qFormat/>
    <w:pPr>
      <w:ind w:left="420"/>
      <w:spacing w:after="120"/>
    </w:pPr>
  </w:style>
  <w:style w:type="character" w:styleId="861" w:customStyle="1">
    <w:name w:val="正文文本缩进 Char"/>
    <w:basedOn w:val="846"/>
    <w:link w:val="860"/>
    <w:uiPriority w:val="99"/>
    <w:semiHidden/>
    <w:qFormat/>
  </w:style>
  <w:style w:type="paragraph" w:styleId="862" w:customStyle="1">
    <w:name w:val="列表接续1"/>
    <w:basedOn w:val="652"/>
    <w:uiPriority w:val="99"/>
    <w:unhideWhenUsed/>
    <w:qFormat/>
    <w:pPr>
      <w:contextualSpacing/>
      <w:ind w:left="420"/>
      <w:spacing w:after="120"/>
    </w:pPr>
  </w:style>
  <w:style w:type="paragraph" w:styleId="863" w:customStyle="1">
    <w:name w:val="文本块1"/>
    <w:basedOn w:val="652"/>
    <w:uiPriority w:val="0"/>
    <w:qFormat/>
    <w:pPr>
      <w:ind w:left="630" w:right="630"/>
      <w:jc w:val="center"/>
    </w:pPr>
    <w:rPr>
      <w:rFonts w:ascii="宋体"/>
      <w:b/>
      <w:sz w:val="32"/>
      <w:szCs w:val="24"/>
    </w:rPr>
  </w:style>
  <w:style w:type="paragraph" w:styleId="864" w:customStyle="1">
    <w:name w:val="目录 31"/>
    <w:basedOn w:val="652"/>
    <w:next w:val="652"/>
    <w:uiPriority w:val="39"/>
    <w:qFormat/>
    <w:pPr>
      <w:ind w:left="420"/>
      <w:jc w:val="left"/>
    </w:pPr>
    <w:rPr>
      <w:iCs/>
      <w:szCs w:val="24"/>
    </w:rPr>
  </w:style>
  <w:style w:type="paragraph" w:styleId="865" w:customStyle="1">
    <w:name w:val="纯文本1"/>
    <w:basedOn w:val="652"/>
    <w:link w:val="866"/>
    <w:uiPriority w:val="0"/>
    <w:qFormat/>
    <w:rPr>
      <w:rFonts w:ascii="宋体" w:hAnsi="Courier New"/>
      <w:sz w:val="20"/>
      <w:szCs w:val="21"/>
    </w:rPr>
  </w:style>
  <w:style w:type="character" w:styleId="866" w:customStyle="1">
    <w:name w:val="纯文本 Char1"/>
    <w:link w:val="865"/>
    <w:uiPriority w:val="0"/>
    <w:qFormat/>
    <w:rPr>
      <w:rFonts w:ascii="宋体" w:hAnsi="Courier New" w:cs="Courier New"/>
      <w:szCs w:val="21"/>
    </w:rPr>
  </w:style>
  <w:style w:type="paragraph" w:styleId="867" w:customStyle="1">
    <w:name w:val="日期1"/>
    <w:basedOn w:val="652"/>
    <w:next w:val="652"/>
    <w:link w:val="868"/>
    <w:uiPriority w:val="0"/>
    <w:qFormat/>
    <w:pPr>
      <w:ind w:left="100"/>
    </w:pPr>
    <w:rPr>
      <w:rFonts w:ascii="仿宋_GB2312" w:eastAsia="仿宋_GB2312"/>
      <w:b/>
      <w:sz w:val="36"/>
      <w:szCs w:val="24"/>
    </w:rPr>
  </w:style>
  <w:style w:type="character" w:styleId="868" w:customStyle="1">
    <w:name w:val="日期 Char"/>
    <w:link w:val="867"/>
    <w:uiPriority w:val="0"/>
    <w:qFormat/>
    <w:rPr>
      <w:rFonts w:ascii="仿宋_GB2312" w:hAnsi="Times New Roman" w:eastAsia="仿宋_GB2312" w:cs="Times New Roman"/>
      <w:b/>
      <w:sz w:val="36"/>
      <w:szCs w:val="24"/>
    </w:rPr>
  </w:style>
  <w:style w:type="paragraph" w:styleId="869" w:customStyle="1">
    <w:name w:val="批注框文本1"/>
    <w:basedOn w:val="652"/>
    <w:link w:val="870"/>
    <w:uiPriority w:val="99"/>
    <w:unhideWhenUsed/>
    <w:qFormat/>
    <w:rPr>
      <w:sz w:val="18"/>
      <w:szCs w:val="18"/>
    </w:rPr>
  </w:style>
  <w:style w:type="character" w:styleId="870" w:customStyle="1">
    <w:name w:val="批注框文本 Char"/>
    <w:link w:val="869"/>
    <w:uiPriority w:val="99"/>
    <w:semiHidden/>
    <w:qFormat/>
    <w:rPr>
      <w:sz w:val="18"/>
      <w:szCs w:val="18"/>
    </w:rPr>
  </w:style>
  <w:style w:type="paragraph" w:styleId="871" w:customStyle="1">
    <w:name w:val="页脚1"/>
    <w:basedOn w:val="652"/>
    <w:link w:val="872"/>
    <w:uiPriority w:val="99"/>
    <w:unhideWhenUsed/>
    <w:qFormat/>
    <w:pPr>
      <w:jc w:val="left"/>
      <w:spacing w:line="240" w:lineRule="atLeast"/>
      <w:tabs>
        <w:tab w:val="center" w:pos="4153" w:leader="none"/>
        <w:tab w:val="right" w:pos="8306" w:leader="none"/>
      </w:tabs>
    </w:pPr>
    <w:rPr>
      <w:sz w:val="18"/>
      <w:szCs w:val="18"/>
    </w:rPr>
  </w:style>
  <w:style w:type="character" w:styleId="872" w:customStyle="1">
    <w:name w:val="页脚 Char"/>
    <w:link w:val="871"/>
    <w:uiPriority w:val="99"/>
    <w:qFormat/>
    <w:rPr>
      <w:sz w:val="18"/>
      <w:szCs w:val="18"/>
    </w:rPr>
  </w:style>
  <w:style w:type="paragraph" w:styleId="873" w:customStyle="1">
    <w:name w:val="页眉1"/>
    <w:basedOn w:val="652"/>
    <w:link w:val="874"/>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874" w:customStyle="1">
    <w:name w:val="页眉 Char"/>
    <w:link w:val="873"/>
    <w:uiPriority w:val="99"/>
    <w:qFormat/>
    <w:rPr>
      <w:sz w:val="18"/>
      <w:szCs w:val="18"/>
    </w:rPr>
  </w:style>
  <w:style w:type="paragraph" w:styleId="875" w:customStyle="1">
    <w:name w:val="目录 11"/>
    <w:basedOn w:val="652"/>
    <w:next w:val="652"/>
    <w:uiPriority w:val="39"/>
    <w:qFormat/>
    <w:pPr>
      <w:jc w:val="left"/>
      <w:spacing w:before="120" w:after="120"/>
    </w:pPr>
    <w:rPr>
      <w:rFonts w:ascii="楷体_GB2312"/>
      <w:b/>
      <w:bCs/>
      <w:caps/>
      <w:sz w:val="44"/>
      <w:szCs w:val="44"/>
    </w:rPr>
  </w:style>
  <w:style w:type="paragraph" w:styleId="876" w:customStyle="1">
    <w:name w:val="正文文本缩进 31"/>
    <w:basedOn w:val="652"/>
    <w:link w:val="877"/>
    <w:uiPriority w:val="99"/>
    <w:unhideWhenUsed/>
    <w:qFormat/>
    <w:pPr>
      <w:ind w:left="420"/>
      <w:spacing w:after="120"/>
    </w:pPr>
    <w:rPr>
      <w:sz w:val="16"/>
      <w:szCs w:val="16"/>
    </w:rPr>
  </w:style>
  <w:style w:type="character" w:styleId="877" w:customStyle="1">
    <w:name w:val="正文文本缩进 3 Char"/>
    <w:link w:val="876"/>
    <w:uiPriority w:val="99"/>
    <w:semiHidden/>
    <w:qFormat/>
    <w:rPr>
      <w:sz w:val="16"/>
      <w:szCs w:val="16"/>
    </w:rPr>
  </w:style>
  <w:style w:type="paragraph" w:styleId="878" w:customStyle="1">
    <w:name w:val="目录 21"/>
    <w:basedOn w:val="652"/>
    <w:next w:val="652"/>
    <w:uiPriority w:val="39"/>
    <w:unhideWhenUsed/>
    <w:qFormat/>
    <w:pPr>
      <w:ind w:left="200"/>
    </w:pPr>
  </w:style>
  <w:style w:type="paragraph" w:styleId="879" w:customStyle="1">
    <w:name w:val="普通(网站)1"/>
    <w:basedOn w:val="652"/>
    <w:link w:val="880"/>
    <w:uiPriority w:val="0"/>
    <w:qFormat/>
    <w:pPr>
      <w:jc w:val="left"/>
      <w:spacing w:before="100" w:beforeAutospacing="1" w:after="100" w:afterAutospacing="1"/>
      <w:widowControl/>
    </w:pPr>
    <w:rPr>
      <w:rFonts w:ascii="宋体" w:hAnsi="宋体"/>
      <w:color w:val="000000"/>
      <w:sz w:val="24"/>
      <w:szCs w:val="24"/>
    </w:rPr>
  </w:style>
  <w:style w:type="character" w:styleId="880" w:customStyle="1">
    <w:name w:val="普通(网站) Char"/>
    <w:link w:val="879"/>
    <w:uiPriority w:val="0"/>
    <w:qFormat/>
    <w:rPr>
      <w:rFonts w:ascii="宋体" w:hAnsi="宋体" w:eastAsia="宋体" w:cs="宋体"/>
      <w:color w:val="000000"/>
      <w:sz w:val="24"/>
      <w:szCs w:val="24"/>
    </w:rPr>
  </w:style>
  <w:style w:type="paragraph" w:styleId="881" w:customStyle="1">
    <w:name w:val="正文首行缩进 21"/>
    <w:basedOn w:val="860"/>
    <w:next w:val="652"/>
    <w:uiPriority w:val="0"/>
    <w:unhideWhenUsed/>
    <w:qFormat/>
    <w:pPr>
      <w:ind w:firstLine="420"/>
    </w:pPr>
    <w:rPr>
      <w:rFonts w:ascii="Arial" w:hAnsi="Arial" w:eastAsia="方正仿宋_GBK" w:cs="Arial"/>
      <w:szCs w:val="24"/>
    </w:rPr>
  </w:style>
  <w:style w:type="table" w:styleId="882" w:customStyle="1">
    <w:name w:val="网格型1"/>
    <w:basedOn w:val="847"/>
    <w:uiPriority w:val="59"/>
    <w:qFormat/>
    <w:tblPr/>
  </w:style>
  <w:style w:type="character" w:styleId="883" w:customStyle="1">
    <w:name w:val="页码1"/>
    <w:basedOn w:val="846"/>
    <w:uiPriority w:val="0"/>
    <w:qFormat/>
  </w:style>
  <w:style w:type="character" w:styleId="884" w:customStyle="1">
    <w:name w:val="超链接1"/>
    <w:uiPriority w:val="99"/>
    <w:qFormat/>
    <w:rPr>
      <w:color w:val="0000ff"/>
      <w:u w:val="single"/>
    </w:rPr>
  </w:style>
  <w:style w:type="paragraph" w:styleId="885" w:customStyle="1">
    <w:name w:val="列出段落1"/>
    <w:basedOn w:val="652"/>
    <w:uiPriority w:val="34"/>
    <w:qFormat/>
    <w:pPr>
      <w:ind w:firstLine="420"/>
    </w:pPr>
    <w:rPr>
      <w:rFonts w:ascii="等线" w:hAnsi="等线" w:eastAsia="等线" w:cs="宋体"/>
    </w:rPr>
  </w:style>
  <w:style w:type="character" w:styleId="886" w:customStyle="1">
    <w:name w:val="htd0"/>
    <w:basedOn w:val="846"/>
    <w:uiPriority w:val="0"/>
    <w:qFormat/>
  </w:style>
  <w:style w:type="paragraph" w:styleId="887" w:customStyle="1">
    <w:name w:val="附录1"/>
    <w:uiPriority w:val="0"/>
    <w:qFormat/>
    <w:pPr>
      <w:numPr>
        <w:ilvl w:val="0"/>
        <w:numId w:val="1"/>
      </w:numPr>
      <w:spacing w:before="240" w:line="600" w:lineRule="atLeast"/>
    </w:pPr>
    <w:rPr>
      <w:rFonts w:ascii="Times New Roman" w:hAnsi="Times New Roman" w:eastAsia="宋体" w:cs="Times New Roman"/>
      <w:b/>
      <w:i/>
      <w:sz w:val="28"/>
      <w:lang w:val="en-US" w:eastAsia="zh-CN" w:bidi="ar-SA"/>
    </w:rPr>
  </w:style>
  <w:style w:type="character" w:styleId="888" w:customStyle="1">
    <w:name w:val="正文缩进 Char3"/>
    <w:uiPriority w:val="0"/>
    <w:qFormat/>
    <w:rPr>
      <w:rFonts w:ascii="Times New Roman" w:hAnsi="Times New Roman" w:eastAsia="宋体" w:cs="Times New Roman"/>
      <w:szCs w:val="24"/>
    </w:rPr>
  </w:style>
  <w:style w:type="character" w:styleId="889" w:customStyle="1">
    <w:name w:val="纯文本 Char"/>
    <w:uiPriority w:val="99"/>
    <w:semiHidden/>
    <w:qFormat/>
    <w:rPr>
      <w:rFonts w:ascii="宋体" w:hAnsi="Courier New" w:eastAsia="宋体" w:cs="Courier New"/>
      <w:szCs w:val="21"/>
    </w:rPr>
  </w:style>
  <w:style w:type="paragraph" w:styleId="890" w:customStyle="1">
    <w:name w:val="Andy_正文格式"/>
    <w:basedOn w:val="652"/>
    <w:uiPriority w:val="0"/>
    <w:qFormat/>
    <w:pPr>
      <w:ind w:firstLine="560"/>
      <w:jc w:val="left"/>
    </w:pPr>
    <w:rPr>
      <w:rFonts w:ascii="仿宋_GB2312" w:eastAsia="仿宋_GB2312"/>
      <w:sz w:val="28"/>
      <w:szCs w:val="28"/>
    </w:rPr>
  </w:style>
  <w:style w:type="character" w:styleId="891" w:customStyle="1">
    <w:name w:val="p141"/>
    <w:uiPriority w:val="0"/>
    <w:qFormat/>
    <w:rPr>
      <w:rFonts w:ascii="Calibri" w:hAnsi="Calibri" w:eastAsia="宋体" w:cs="宋体"/>
      <w:sz w:val="21"/>
      <w:szCs w:val="21"/>
      <w:lang w:val="en-US" w:eastAsia="zh-CN" w:bidi="ar-SA"/>
    </w:rPr>
  </w:style>
  <w:style w:type="paragraph" w:styleId="892" w:customStyle="1">
    <w:name w:val="样式 宋体 五号 两端对齐 行距: 单倍行距"/>
    <w:basedOn w:val="652"/>
    <w:uiPriority w:val="0"/>
    <w:qFormat/>
    <w:pPr>
      <w:numPr>
        <w:ilvl w:val="0"/>
        <w:numId w:val="2"/>
      </w:numPr>
      <w:ind w:left="0" w:firstLine="0"/>
    </w:pPr>
    <w:rPr>
      <w:rFonts w:ascii="宋体" w:hAnsi="宋体" w:cs="宋体"/>
      <w:szCs w:val="20"/>
    </w:rPr>
  </w:style>
  <w:style w:type="paragraph" w:styleId="893" w:customStyle="1">
    <w:name w:val="样式1"/>
    <w:basedOn w:val="652"/>
    <w:uiPriority w:val="0"/>
    <w:qFormat/>
    <w:pPr>
      <w:numPr>
        <w:ilvl w:val="1"/>
        <w:numId w:val="3"/>
      </w:numPr>
    </w:pPr>
    <w:rPr>
      <w:rFonts w:ascii="宋体" w:hAnsi="宋体"/>
      <w:szCs w:val="21"/>
    </w:rPr>
  </w:style>
  <w:style w:type="paragraph" w:styleId="894" w:customStyle="1">
    <w:name w:val="Char"/>
    <w:basedOn w:val="652"/>
    <w:uiPriority w:val="0"/>
    <w:qFormat/>
    <w:pPr>
      <w:ind w:firstLine="200"/>
      <w:tabs>
        <w:tab w:val="left" w:pos="360" w:leader="none"/>
      </w:tabs>
    </w:pPr>
    <w:rPr>
      <w:sz w:val="28"/>
      <w:szCs w:val="30"/>
    </w:rPr>
  </w:style>
  <w:style w:type="paragraph" w:styleId="895" w:customStyle="1">
    <w:name w:val="列出段落3"/>
    <w:basedOn w:val="652"/>
    <w:uiPriority w:val="99"/>
    <w:qFormat/>
    <w:pPr>
      <w:ind w:firstLine="420"/>
    </w:pPr>
    <w:rPr>
      <w:rFonts w:ascii="Calibri" w:hAnsi="Calibri"/>
    </w:rPr>
  </w:style>
  <w:style w:type="paragraph" w:styleId="896" w:customStyle="1">
    <w:name w:val="列出段落11"/>
    <w:basedOn w:val="652"/>
    <w:uiPriority w:val="0"/>
    <w:qFormat/>
    <w:pPr>
      <w:ind w:firstLine="420"/>
    </w:pPr>
    <w:rPr>
      <w:szCs w:val="24"/>
    </w:rPr>
  </w:style>
  <w:style w:type="paragraph" w:styleId="897"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898" w:customStyle="1">
    <w:name w:val="TOC 标题11"/>
    <w:basedOn w:val="842"/>
    <w:next w:val="652"/>
    <w:uiPriority w:val="39"/>
    <w:unhideWhenUsed/>
    <w:qFormat/>
    <w:pPr>
      <w:jc w:val="left"/>
      <w:spacing w:before="240" w:after="0" w:line="259" w:lineRule="auto"/>
      <w:widowControl/>
      <w:outlineLvl w:val="9"/>
    </w:pPr>
    <w:rPr>
      <w:rFonts w:ascii="Cambria" w:hAnsi="Cambria"/>
      <w:b w:val="0"/>
      <w:bCs w:val="0"/>
      <w:color w:val="365f91"/>
      <w:sz w:val="32"/>
      <w:szCs w:val="32"/>
    </w:rPr>
  </w:style>
  <w:style w:type="character" w:styleId="899" w:customStyle="1">
    <w:name w:val="titlebody"/>
    <w:uiPriority w:val="0"/>
    <w:qFormat/>
    <w:rPr>
      <w:rFonts w:ascii="宋体" w:hAnsi="宋体" w:eastAsia="宋体" w:cs="宋体"/>
      <w:b/>
      <w:bCs/>
      <w:color w:val="000000"/>
      <w:sz w:val="24"/>
      <w:szCs w:val="24"/>
    </w:rPr>
  </w:style>
  <w:style w:type="paragraph" w:styleId="900" w:customStyle="1">
    <w:name w:val="Normal_1"/>
    <w:uiPriority w:val="0"/>
    <w:qFormat/>
    <w:rPr>
      <w:rFonts w:ascii="Times New Roman" w:hAnsi="Times New Roman" w:eastAsia="Times New Roman" w:cs="Times New Roman"/>
      <w:sz w:val="24"/>
      <w:szCs w:val="24"/>
      <w:lang w:val="en-US" w:eastAsia="zh-CN" w:bidi="ar-SA"/>
    </w:rPr>
  </w:style>
  <w:style w:type="paragraph" w:styleId="901" w:customStyle="1">
    <w:name w:val="Normal_2"/>
    <w:uiPriority w:val="0"/>
    <w:qFormat/>
    <w:rPr>
      <w:rFonts w:ascii="Times New Roman" w:hAnsi="Times New Roman" w:eastAsia="Times New Roman" w:cs="Times New Roman"/>
      <w:sz w:val="24"/>
      <w:szCs w:val="24"/>
      <w:lang w:val="en-US" w:eastAsia="zh-CN" w:bidi="ar-SA"/>
    </w:rPr>
  </w:style>
  <w:style w:type="paragraph" w:styleId="902" w:customStyle="1">
    <w:name w:val="Normal_3"/>
    <w:uiPriority w:val="0"/>
    <w:qFormat/>
    <w:rPr>
      <w:rFonts w:ascii="Times New Roman" w:hAnsi="Times New Roman" w:eastAsia="Times New Roman" w:cs="Times New Roman"/>
      <w:sz w:val="24"/>
      <w:szCs w:val="24"/>
      <w:lang w:val="en-US" w:eastAsia="zh-CN" w:bidi="ar-SA"/>
    </w:rPr>
  </w:style>
  <w:style w:type="paragraph" w:styleId="903" w:customStyle="1">
    <w:name w:val="Normal_4"/>
    <w:uiPriority w:val="0"/>
    <w:qFormat/>
    <w:rPr>
      <w:rFonts w:ascii="Times New Roman" w:hAnsi="Times New Roman" w:eastAsia="Times New Roman" w:cs="Times New Roman"/>
      <w:sz w:val="24"/>
      <w:szCs w:val="24"/>
      <w:lang w:val="en-US" w:eastAsia="zh-CN" w:bidi="ar-SA"/>
    </w:rPr>
  </w:style>
  <w:style w:type="paragraph" w:styleId="904" w:customStyle="1">
    <w:name w:val="Normal_5"/>
    <w:uiPriority w:val="0"/>
    <w:qFormat/>
    <w:rPr>
      <w:rFonts w:ascii="Times New Roman" w:hAnsi="Times New Roman" w:eastAsia="Times New Roman" w:cs="Times New Roman"/>
      <w:sz w:val="24"/>
      <w:szCs w:val="24"/>
      <w:lang w:val="en-US" w:eastAsia="zh-CN" w:bidi="ar-SA"/>
    </w:rPr>
  </w:style>
  <w:style w:type="paragraph" w:styleId="905" w:customStyle="1">
    <w:name w:val="Normal_6"/>
    <w:uiPriority w:val="0"/>
    <w:qFormat/>
    <w:rPr>
      <w:rFonts w:ascii="Times New Roman" w:hAnsi="Times New Roman" w:eastAsia="Times New Roman" w:cs="Times New Roman"/>
      <w:sz w:val="24"/>
      <w:szCs w:val="24"/>
      <w:lang w:val="en-US" w:eastAsia="zh-CN" w:bidi="ar-SA"/>
    </w:rPr>
  </w:style>
  <w:style w:type="paragraph" w:styleId="906" w:customStyle="1">
    <w:name w:val="Normal_7"/>
    <w:uiPriority w:val="0"/>
    <w:qFormat/>
    <w:rPr>
      <w:rFonts w:ascii="Times New Roman" w:hAnsi="Times New Roman" w:eastAsia="Times New Roman" w:cs="Times New Roman"/>
      <w:sz w:val="24"/>
      <w:szCs w:val="24"/>
      <w:lang w:val="en-US" w:eastAsia="zh-CN" w:bidi="ar-SA"/>
    </w:rPr>
  </w:style>
  <w:style w:type="paragraph" w:styleId="907" w:customStyle="1">
    <w:name w:val="Normal_0_0"/>
    <w:uiPriority w:val="0"/>
    <w:qFormat/>
    <w:rPr>
      <w:rFonts w:ascii="Times New Roman" w:hAnsi="Times New Roman" w:eastAsia="Times New Roman" w:cs="Times New Roman"/>
      <w:sz w:val="24"/>
      <w:szCs w:val="24"/>
      <w:lang w:val="en-US" w:eastAsia="zh-CN" w:bidi="ar-SA"/>
    </w:rPr>
  </w:style>
  <w:style w:type="paragraph" w:styleId="908" w:customStyle="1">
    <w:name w:val="Normal_1_0"/>
    <w:uiPriority w:val="0"/>
    <w:qFormat/>
    <w:rPr>
      <w:rFonts w:ascii="Times New Roman" w:hAnsi="Times New Roman" w:eastAsia="Times New Roman" w:cs="Times New Roman"/>
      <w:sz w:val="24"/>
      <w:szCs w:val="24"/>
      <w:lang w:val="en-US" w:eastAsia="zh-CN" w:bidi="ar-SA"/>
    </w:rPr>
  </w:style>
  <w:style w:type="paragraph" w:styleId="909" w:customStyle="1">
    <w:name w:val="Normal_2_0"/>
    <w:uiPriority w:val="0"/>
    <w:qFormat/>
    <w:rPr>
      <w:rFonts w:ascii="Times New Roman" w:hAnsi="Times New Roman" w:eastAsia="Times New Roman" w:cs="Times New Roman"/>
      <w:sz w:val="24"/>
      <w:szCs w:val="24"/>
      <w:lang w:val="en-US" w:eastAsia="zh-CN" w:bidi="ar-SA"/>
    </w:rPr>
  </w:style>
  <w:style w:type="paragraph" w:styleId="910" w:customStyle="1">
    <w:name w:val="Normal_3_0"/>
    <w:uiPriority w:val="0"/>
    <w:qFormat/>
    <w:rPr>
      <w:rFonts w:ascii="Times New Roman" w:hAnsi="Times New Roman" w:eastAsia="Times New Roman" w:cs="Times New Roman"/>
      <w:sz w:val="24"/>
      <w:szCs w:val="24"/>
      <w:lang w:val="en-US" w:eastAsia="zh-CN" w:bidi="ar-SA"/>
    </w:rPr>
  </w:style>
  <w:style w:type="paragraph" w:styleId="911" w:customStyle="1">
    <w:name w:val="Normal_4_0"/>
    <w:uiPriority w:val="0"/>
    <w:qFormat/>
    <w:rPr>
      <w:rFonts w:ascii="Times New Roman" w:hAnsi="Times New Roman" w:eastAsia="Times New Roman" w:cs="Times New Roman"/>
      <w:sz w:val="24"/>
      <w:szCs w:val="24"/>
      <w:lang w:val="en-US" w:eastAsia="zh-CN" w:bidi="ar-SA"/>
    </w:rPr>
  </w:style>
  <w:style w:type="paragraph" w:styleId="912"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913" w:customStyle="1">
    <w:name w:val="Normal_5_0"/>
    <w:uiPriority w:val="0"/>
    <w:qFormat/>
    <w:rPr>
      <w:rFonts w:ascii="Times New Roman" w:hAnsi="Times New Roman" w:eastAsia="Times New Roman" w:cs="Times New Roman"/>
      <w:sz w:val="24"/>
      <w:szCs w:val="24"/>
      <w:lang w:val="en-US" w:eastAsia="zh-CN" w:bidi="ar-SA"/>
    </w:rPr>
  </w:style>
  <w:style w:type="paragraph" w:styleId="914"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915" w:customStyle="1">
    <w:name w:val="Normal_6_0"/>
    <w:uiPriority w:val="0"/>
    <w:qFormat/>
    <w:rPr>
      <w:rFonts w:ascii="Times New Roman" w:hAnsi="Times New Roman" w:eastAsia="Times New Roman" w:cs="Times New Roman"/>
      <w:sz w:val="24"/>
      <w:szCs w:val="24"/>
      <w:lang w:val="en-US" w:eastAsia="zh-CN" w:bidi="ar-SA"/>
    </w:rPr>
  </w:style>
  <w:style w:type="paragraph" w:styleId="916" w:customStyle="1">
    <w:name w:val="正文_1"/>
    <w:basedOn w:val="917"/>
    <w:uiPriority w:val="0"/>
    <w:qFormat/>
  </w:style>
  <w:style w:type="paragraph" w:styleId="917" w:customStyle="1">
    <w:name w:val="正文_2"/>
    <w:basedOn w:val="918"/>
    <w:next w:val="923"/>
    <w:uiPriority w:val="0"/>
    <w:qFormat/>
    <w:rPr>
      <w:rFonts w:ascii="Times New Roman" w:hAnsi="Times New Roman"/>
    </w:rPr>
  </w:style>
  <w:style w:type="paragraph" w:styleId="918" w:customStyle="1">
    <w:name w:val="正文_3"/>
    <w:next w:val="919"/>
    <w:uiPriority w:val="0"/>
    <w:qFormat/>
    <w:pPr>
      <w:jc w:val="both"/>
      <w:widowControl w:val="off"/>
    </w:pPr>
    <w:rPr>
      <w:rFonts w:ascii="Calibri" w:hAnsi="Calibri" w:eastAsia="宋体" w:cs="Times New Roman"/>
      <w:sz w:val="21"/>
      <w:szCs w:val="22"/>
      <w:lang w:val="en-US" w:eastAsia="zh-CN" w:bidi="ar-SA"/>
    </w:rPr>
  </w:style>
  <w:style w:type="paragraph" w:styleId="919" w:customStyle="1">
    <w:name w:val="正文文本_1"/>
    <w:basedOn w:val="920"/>
    <w:uiPriority w:val="0"/>
    <w:unhideWhenUsed/>
    <w:qFormat/>
    <w:pPr>
      <w:spacing w:after="120"/>
    </w:pPr>
    <w:rPr>
      <w:rFonts w:eastAsia="宋体" w:cs="Times New Roman"/>
    </w:rPr>
  </w:style>
  <w:style w:type="paragraph" w:styleId="920" w:customStyle="1">
    <w:name w:val="正文_2_0"/>
    <w:basedOn w:val="921"/>
    <w:next w:val="919"/>
    <w:uiPriority w:val="0"/>
    <w:qFormat/>
    <w:rPr>
      <w:rFonts w:ascii="Calibri" w:hAnsi="Calibri"/>
      <w:sz w:val="21"/>
      <w:lang w:eastAsia="zh-CN"/>
    </w:rPr>
  </w:style>
  <w:style w:type="paragraph" w:styleId="921" w:customStyle="1">
    <w:name w:val="正文_3_0"/>
    <w:basedOn w:val="922"/>
    <w:uiPriority w:val="0"/>
    <w:qFormat/>
    <w:rPr>
      <w:rFonts w:ascii="仿宋" w:hAnsi="仿宋" w:eastAsia="仿宋" w:cs="仿宋"/>
      <w:sz w:val="22"/>
      <w:lang w:eastAsia="en-US"/>
    </w:rPr>
  </w:style>
  <w:style w:type="paragraph" w:styleId="922" w:customStyle="1">
    <w:name w:val="正文_4_0"/>
    <w:basedOn w:val="897"/>
    <w:uiPriority w:val="0"/>
    <w:qFormat/>
    <w:rPr>
      <w:szCs w:val="22"/>
    </w:rPr>
  </w:style>
  <w:style w:type="paragraph" w:styleId="923" w:customStyle="1">
    <w:name w:val="无间隔1"/>
    <w:basedOn w:val="652"/>
    <w:next w:val="924"/>
    <w:uiPriority w:val="1"/>
    <w:qFormat/>
  </w:style>
  <w:style w:type="paragraph" w:styleId="924" w:customStyle="1">
    <w:name w:val="样式 标题 3 + (中文) 黑体 小四 非加粗 段前: 7.8 磅 段后: 0 磅 行距: 固定值 20 磅"/>
    <w:basedOn w:val="655"/>
    <w:uiPriority w:val="0"/>
    <w:qFormat/>
    <w:pPr>
      <w:spacing w:before="0" w:after="0" w:line="400" w:lineRule="exact"/>
    </w:pPr>
    <w:rPr>
      <w:rFonts w:eastAsia="黑体" w:cs="宋体"/>
      <w:b w:val="0"/>
      <w:sz w:val="21"/>
    </w:rPr>
  </w:style>
  <w:style w:type="paragraph" w:styleId="925" w:customStyle="1">
    <w:name w:val="Normal_7_0"/>
    <w:uiPriority w:val="0"/>
    <w:qFormat/>
    <w:rPr>
      <w:rFonts w:ascii="Times New Roman" w:hAnsi="Times New Roman" w:eastAsia="Times New Roman" w:cs="Times New Roman"/>
      <w:sz w:val="24"/>
      <w:szCs w:val="24"/>
      <w:lang w:val="en-US" w:eastAsia="zh-CN" w:bidi="ar-SA"/>
    </w:rPr>
  </w:style>
  <w:style w:type="paragraph" w:styleId="926" w:customStyle="1">
    <w:name w:val="Normal_8"/>
    <w:uiPriority w:val="0"/>
    <w:qFormat/>
    <w:rPr>
      <w:rFonts w:ascii="Times New Roman" w:hAnsi="Times New Roman" w:eastAsia="Times New Roman" w:cs="Times New Roman"/>
      <w:sz w:val="24"/>
      <w:szCs w:val="24"/>
      <w:lang w:val="en-US" w:eastAsia="zh-CN" w:bidi="ar-SA"/>
    </w:rPr>
  </w:style>
  <w:style w:type="paragraph" w:styleId="927" w:customStyle="1">
    <w:name w:val="Normal_9"/>
    <w:uiPriority w:val="0"/>
    <w:qFormat/>
    <w:rPr>
      <w:rFonts w:ascii="Times New Roman" w:hAnsi="Times New Roman" w:eastAsia="Times New Roman" w:cs="Times New Roman"/>
      <w:sz w:val="24"/>
      <w:szCs w:val="24"/>
      <w:lang w:val="en-US" w:eastAsia="zh-CN" w:bidi="ar-SA"/>
    </w:rPr>
  </w:style>
  <w:style w:type="paragraph" w:styleId="928" w:customStyle="1">
    <w:name w:val="Normal_10"/>
    <w:uiPriority w:val="0"/>
    <w:qFormat/>
    <w:rPr>
      <w:rFonts w:ascii="Times New Roman" w:hAnsi="Times New Roman" w:eastAsia="Times New Roman" w:cs="Times New Roman"/>
      <w:sz w:val="24"/>
      <w:szCs w:val="24"/>
      <w:lang w:val="en-US" w:eastAsia="zh-CN" w:bidi="ar-SA"/>
    </w:rPr>
  </w:style>
  <w:style w:type="paragraph" w:styleId="929" w:customStyle="1">
    <w:name w:val="正文_5"/>
    <w:uiPriority w:val="0"/>
    <w:qFormat/>
    <w:pPr>
      <w:jc w:val="both"/>
      <w:widowControl w:val="off"/>
    </w:pPr>
    <w:rPr>
      <w:rFonts w:ascii="Times New Roman" w:hAnsi="Times New Roman" w:eastAsia="宋体" w:cs="Times New Roman"/>
      <w:sz w:val="21"/>
      <w:szCs w:val="22"/>
      <w:lang w:val="en-US" w:eastAsia="zh-CN" w:bidi="ar-SA"/>
    </w:rPr>
  </w:style>
  <w:style w:type="paragraph" w:styleId="930" w:customStyle="1">
    <w:name w:val="Normal_11"/>
    <w:uiPriority w:val="0"/>
    <w:qFormat/>
    <w:rPr>
      <w:rFonts w:ascii="Times New Roman" w:hAnsi="Times New Roman" w:eastAsia="Times New Roman" w:cs="Times New Roman"/>
      <w:sz w:val="24"/>
      <w:szCs w:val="24"/>
      <w:lang w:val="en-US" w:eastAsia="zh-CN" w:bidi="ar-SA"/>
    </w:rPr>
  </w:style>
  <w:style w:type="paragraph" w:styleId="931"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932" w:customStyle="1">
    <w:name w:val="Normal_12"/>
    <w:uiPriority w:val="0"/>
    <w:qFormat/>
    <w:rPr>
      <w:rFonts w:ascii="Times New Roman" w:hAnsi="Times New Roman" w:eastAsia="Times New Roman" w:cs="Times New Roman"/>
      <w:sz w:val="24"/>
      <w:szCs w:val="24"/>
      <w:lang w:val="en-US" w:eastAsia="zh-CN" w:bidi="ar-SA"/>
    </w:rPr>
  </w:style>
  <w:style w:type="paragraph" w:styleId="933" w:customStyle="1">
    <w:name w:val="Normal_14"/>
    <w:uiPriority w:val="0"/>
    <w:qFormat/>
    <w:rPr>
      <w:rFonts w:ascii="Times New Roman" w:hAnsi="Times New Roman" w:eastAsia="Times New Roman" w:cs="Times New Roman"/>
      <w:sz w:val="24"/>
      <w:szCs w:val="24"/>
      <w:lang w:val="en-US" w:eastAsia="zh-CN" w:bidi="ar-SA"/>
    </w:rPr>
  </w:style>
  <w:style w:type="paragraph" w:styleId="934" w:customStyle="1">
    <w:name w:val="正文_7"/>
    <w:uiPriority w:val="0"/>
    <w:qFormat/>
    <w:pPr>
      <w:jc w:val="both"/>
      <w:widowControl w:val="off"/>
    </w:pPr>
    <w:rPr>
      <w:rFonts w:ascii="Times New Roman" w:hAnsi="Times New Roman" w:eastAsia="宋体" w:cs="Times New Roman"/>
      <w:sz w:val="21"/>
      <w:szCs w:val="22"/>
      <w:lang w:val="en-US" w:eastAsia="zh-CN" w:bidi="ar-SA"/>
    </w:rPr>
  </w:style>
  <w:style w:type="paragraph" w:styleId="935" w:customStyle="1">
    <w:name w:val="Normal_15"/>
    <w:uiPriority w:val="0"/>
    <w:qFormat/>
    <w:rPr>
      <w:rFonts w:ascii="Times New Roman" w:hAnsi="Times New Roman" w:eastAsia="Times New Roman" w:cs="Times New Roman"/>
      <w:sz w:val="24"/>
      <w:szCs w:val="24"/>
      <w:lang w:val="en-US" w:eastAsia="zh-CN" w:bidi="ar-SA"/>
    </w:rPr>
  </w:style>
  <w:style w:type="paragraph" w:styleId="936" w:customStyle="1">
    <w:name w:val="Normal_16"/>
    <w:uiPriority w:val="0"/>
    <w:qFormat/>
    <w:rPr>
      <w:rFonts w:ascii="Times New Roman" w:hAnsi="Times New Roman" w:eastAsia="Times New Roman" w:cs="Times New Roman"/>
      <w:sz w:val="24"/>
      <w:szCs w:val="24"/>
      <w:lang w:val="en-US" w:eastAsia="zh-CN" w:bidi="ar-SA"/>
    </w:rPr>
  </w:style>
  <w:style w:type="paragraph" w:styleId="937" w:customStyle="1">
    <w:name w:val="Normal_17"/>
    <w:uiPriority w:val="0"/>
    <w:qFormat/>
    <w:rPr>
      <w:rFonts w:ascii="Times New Roman" w:hAnsi="Times New Roman" w:eastAsia="Times New Roman" w:cs="Times New Roman"/>
      <w:sz w:val="24"/>
      <w:szCs w:val="24"/>
      <w:lang w:val="en-US" w:eastAsia="zh-CN" w:bidi="ar-SA"/>
    </w:rPr>
  </w:style>
  <w:style w:type="character" w:styleId="938" w:customStyle="1">
    <w:name w:val="正文缩进 字符"/>
    <w:link w:val="666"/>
    <w:uiPriority w:val="0"/>
    <w:semiHidden/>
    <w:qFormat/>
    <w:rPr>
      <w:rFonts w:ascii="Times New Roman" w:hAnsi="Times New Roman" w:eastAsia="宋体" w:cs="Times New Roman"/>
      <w:szCs w:val="24"/>
    </w:rPr>
  </w:style>
  <w:style w:type="paragraph" w:styleId="939" w:customStyle="1">
    <w:name w:val="Normal_19"/>
    <w:uiPriority w:val="0"/>
    <w:qFormat/>
    <w:rPr>
      <w:rFonts w:ascii="Times New Roman" w:hAnsi="Times New Roman" w:eastAsia="Times New Roman" w:cs="Times New Roman"/>
      <w:sz w:val="24"/>
      <w:szCs w:val="24"/>
      <w:lang w:val="en-US" w:eastAsia="zh-CN" w:bidi="ar-SA"/>
    </w:rPr>
  </w:style>
  <w:style w:type="paragraph" w:styleId="940" w:customStyle="1">
    <w:name w:val="Normal_20"/>
    <w:uiPriority w:val="0"/>
    <w:qFormat/>
    <w:rPr>
      <w:rFonts w:ascii="Times New Roman" w:hAnsi="Times New Roman" w:eastAsia="Times New Roman" w:cs="Times New Roman"/>
      <w:sz w:val="24"/>
      <w:szCs w:val="24"/>
      <w:lang w:val="en-US" w:eastAsia="zh-CN" w:bidi="ar-SA"/>
    </w:rPr>
  </w:style>
  <w:style w:type="paragraph" w:styleId="941" w:customStyle="1">
    <w:name w:val="正文_8"/>
    <w:uiPriority w:val="0"/>
    <w:qFormat/>
    <w:pPr>
      <w:jc w:val="both"/>
      <w:widowControl w:val="off"/>
    </w:pPr>
    <w:rPr>
      <w:rFonts w:ascii="Times New Roman" w:hAnsi="Times New Roman" w:eastAsia="宋体" w:cs="Times New Roman"/>
      <w:sz w:val="21"/>
      <w:szCs w:val="22"/>
      <w:lang w:val="en-US" w:eastAsia="zh-CN" w:bidi="ar-SA"/>
    </w:rPr>
  </w:style>
  <w:style w:type="paragraph" w:styleId="942" w:customStyle="1">
    <w:name w:val="Normal_21"/>
    <w:uiPriority w:val="0"/>
    <w:qFormat/>
    <w:rPr>
      <w:rFonts w:ascii="Times New Roman" w:hAnsi="Times New Roman" w:eastAsia="Times New Roman" w:cs="Times New Roman"/>
      <w:sz w:val="24"/>
      <w:szCs w:val="24"/>
      <w:lang w:val="en-US" w:eastAsia="zh-CN" w:bidi="ar-SA"/>
    </w:rPr>
  </w:style>
  <w:style w:type="paragraph" w:styleId="943" w:customStyle="1">
    <w:name w:val="正文_9"/>
    <w:uiPriority w:val="0"/>
    <w:qFormat/>
    <w:pPr>
      <w:jc w:val="both"/>
      <w:widowControl w:val="off"/>
    </w:pPr>
    <w:rPr>
      <w:rFonts w:ascii="Times New Roman" w:hAnsi="Times New Roman" w:eastAsia="宋体" w:cs="Times New Roman"/>
      <w:sz w:val="21"/>
      <w:szCs w:val="22"/>
      <w:lang w:val="en-US" w:eastAsia="zh-CN" w:bidi="ar-SA"/>
    </w:rPr>
  </w:style>
  <w:style w:type="paragraph" w:styleId="944" w:customStyle="1">
    <w:name w:val="Normal_22"/>
    <w:uiPriority w:val="0"/>
    <w:qFormat/>
    <w:rPr>
      <w:rFonts w:ascii="Times New Roman" w:hAnsi="Times New Roman" w:eastAsia="Times New Roman" w:cs="Times New Roman"/>
      <w:sz w:val="24"/>
      <w:szCs w:val="24"/>
      <w:lang w:val="en-US" w:eastAsia="zh-CN" w:bidi="ar-SA"/>
    </w:rPr>
  </w:style>
  <w:style w:type="paragraph" w:styleId="945" w:customStyle="1">
    <w:name w:val="正文_10"/>
    <w:uiPriority w:val="0"/>
    <w:qFormat/>
    <w:pPr>
      <w:jc w:val="both"/>
      <w:widowControl w:val="off"/>
    </w:pPr>
    <w:rPr>
      <w:rFonts w:ascii="Times New Roman" w:hAnsi="Times New Roman" w:eastAsia="宋体" w:cs="Times New Roman"/>
      <w:sz w:val="21"/>
      <w:szCs w:val="22"/>
      <w:lang w:val="en-US" w:eastAsia="zh-CN" w:bidi="ar-SA"/>
    </w:rPr>
  </w:style>
  <w:style w:type="paragraph" w:styleId="946" w:customStyle="1">
    <w:name w:val="Normal_23"/>
    <w:uiPriority w:val="0"/>
    <w:qFormat/>
    <w:rPr>
      <w:rFonts w:ascii="Times New Roman" w:hAnsi="Times New Roman" w:eastAsia="Times New Roman" w:cs="Times New Roman"/>
      <w:sz w:val="24"/>
      <w:szCs w:val="24"/>
      <w:lang w:val="en-US" w:eastAsia="zh-CN" w:bidi="ar-SA"/>
    </w:rPr>
  </w:style>
  <w:style w:type="paragraph" w:styleId="947" w:customStyle="1">
    <w:name w:val="正文_11"/>
    <w:uiPriority w:val="0"/>
    <w:qFormat/>
    <w:pPr>
      <w:jc w:val="both"/>
      <w:widowControl w:val="off"/>
    </w:pPr>
    <w:rPr>
      <w:rFonts w:ascii="Times New Roman" w:hAnsi="Times New Roman" w:eastAsia="宋体" w:cs="Times New Roman"/>
      <w:sz w:val="21"/>
      <w:szCs w:val="22"/>
      <w:lang w:val="en-US" w:eastAsia="zh-CN" w:bidi="ar-SA"/>
    </w:rPr>
  </w:style>
  <w:style w:type="paragraph" w:styleId="948" w:customStyle="1">
    <w:name w:val="Normal_24"/>
    <w:uiPriority w:val="0"/>
    <w:qFormat/>
    <w:rPr>
      <w:rFonts w:ascii="Times New Roman" w:hAnsi="Times New Roman" w:eastAsia="Times New Roman" w:cs="Times New Roman"/>
      <w:sz w:val="24"/>
      <w:szCs w:val="24"/>
      <w:lang w:val="en-US" w:eastAsia="zh-CN" w:bidi="ar-SA"/>
    </w:rPr>
  </w:style>
  <w:style w:type="paragraph" w:styleId="949" w:customStyle="1">
    <w:name w:val="正文_12"/>
    <w:uiPriority w:val="0"/>
    <w:qFormat/>
    <w:pPr>
      <w:jc w:val="both"/>
      <w:widowControl w:val="off"/>
    </w:pPr>
    <w:rPr>
      <w:rFonts w:ascii="Times New Roman" w:hAnsi="Times New Roman" w:eastAsia="宋体" w:cs="Times New Roman"/>
      <w:sz w:val="21"/>
      <w:szCs w:val="22"/>
      <w:lang w:val="en-US" w:eastAsia="zh-CN" w:bidi="ar-SA"/>
    </w:rPr>
  </w:style>
  <w:style w:type="paragraph" w:styleId="950" w:customStyle="1">
    <w:name w:val="Normal_25"/>
    <w:uiPriority w:val="0"/>
    <w:qFormat/>
    <w:rPr>
      <w:rFonts w:ascii="Times New Roman" w:hAnsi="Times New Roman" w:eastAsia="Times New Roman" w:cs="Times New Roman"/>
      <w:sz w:val="24"/>
      <w:szCs w:val="24"/>
      <w:lang w:val="en-US" w:eastAsia="zh-CN" w:bidi="ar-SA"/>
    </w:rPr>
  </w:style>
  <w:style w:type="paragraph" w:styleId="951" w:customStyle="1">
    <w:name w:val="Normal_26"/>
    <w:uiPriority w:val="0"/>
    <w:qFormat/>
    <w:rPr>
      <w:rFonts w:ascii="Times New Roman" w:hAnsi="Times New Roman" w:eastAsia="Times New Roman" w:cs="Times New Roman"/>
      <w:sz w:val="24"/>
      <w:szCs w:val="24"/>
      <w:lang w:val="en-US" w:eastAsia="zh-CN" w:bidi="ar-SA"/>
    </w:rPr>
  </w:style>
  <w:style w:type="paragraph" w:styleId="952" w:customStyle="1">
    <w:name w:val="Normal_27"/>
    <w:uiPriority w:val="0"/>
    <w:qFormat/>
    <w:rPr>
      <w:rFonts w:ascii="Times New Roman" w:hAnsi="Times New Roman" w:eastAsia="Times New Roman" w:cs="Times New Roman"/>
      <w:sz w:val="24"/>
      <w:szCs w:val="24"/>
      <w:lang w:val="en-US" w:eastAsia="zh-CN" w:bidi="ar-SA"/>
    </w:rPr>
  </w:style>
  <w:style w:type="paragraph" w:styleId="953" w:customStyle="1">
    <w:name w:val="正文_13"/>
    <w:uiPriority w:val="0"/>
    <w:qFormat/>
    <w:pPr>
      <w:jc w:val="both"/>
      <w:widowControl w:val="off"/>
    </w:pPr>
    <w:rPr>
      <w:rFonts w:ascii="Times New Roman" w:hAnsi="Times New Roman" w:eastAsia="宋体" w:cs="Times New Roman"/>
      <w:sz w:val="21"/>
      <w:szCs w:val="22"/>
      <w:lang w:val="en-US" w:eastAsia="zh-CN" w:bidi="ar-SA"/>
    </w:rPr>
  </w:style>
  <w:style w:type="paragraph" w:styleId="954" w:customStyle="1">
    <w:name w:val="Normal_28"/>
    <w:uiPriority w:val="0"/>
    <w:qFormat/>
    <w:rPr>
      <w:rFonts w:ascii="Times New Roman" w:hAnsi="Times New Roman" w:eastAsia="Times New Roman" w:cs="Times New Roman"/>
      <w:sz w:val="24"/>
      <w:szCs w:val="24"/>
      <w:lang w:val="en-US" w:eastAsia="zh-CN" w:bidi="ar-SA"/>
    </w:rPr>
  </w:style>
  <w:style w:type="paragraph" w:styleId="955" w:customStyle="1">
    <w:name w:val="Normal_29"/>
    <w:uiPriority w:val="0"/>
    <w:qFormat/>
    <w:rPr>
      <w:rFonts w:ascii="Times New Roman" w:hAnsi="Times New Roman" w:eastAsia="Times New Roman" w:cs="Times New Roman"/>
      <w:sz w:val="24"/>
      <w:szCs w:val="24"/>
      <w:lang w:val="en-US" w:eastAsia="zh-CN" w:bidi="ar-SA"/>
    </w:rPr>
  </w:style>
  <w:style w:type="paragraph" w:styleId="956"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957"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958" w:customStyle="1">
    <w:name w:val="Normal_30"/>
    <w:uiPriority w:val="0"/>
    <w:qFormat/>
    <w:rPr>
      <w:rFonts w:ascii="Times New Roman" w:hAnsi="Times New Roman" w:eastAsia="Times New Roman" w:cs="Times New Roman"/>
      <w:sz w:val="24"/>
      <w:szCs w:val="24"/>
      <w:lang w:val="en-US" w:eastAsia="zh-CN" w:bidi="ar-SA"/>
    </w:rPr>
  </w:style>
  <w:style w:type="paragraph" w:styleId="959" w:customStyle="1">
    <w:name w:val="正文_1_0_0"/>
    <w:uiPriority w:val="0"/>
    <w:qFormat/>
    <w:pPr>
      <w:jc w:val="both"/>
      <w:widowControl w:val="off"/>
    </w:pPr>
    <w:rPr>
      <w:rFonts w:ascii="Times New Roman" w:hAnsi="Times New Roman" w:eastAsia="宋体" w:cs="Times New Roman"/>
      <w:sz w:val="21"/>
      <w:szCs w:val="22"/>
      <w:lang w:val="en-US" w:eastAsia="zh-CN" w:bidi="ar-SA"/>
    </w:rPr>
  </w:style>
  <w:style w:type="paragraph" w:styleId="960"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character" w:styleId="961" w:customStyle="1">
    <w:name w:val="fontstyle01_0"/>
    <w:uiPriority w:val="0"/>
    <w:qFormat/>
    <w:rPr>
      <w:rFonts w:hint="eastAsia" w:ascii="宋体" w:hAnsi="宋体" w:eastAsia="宋体"/>
      <w:color w:val="000000"/>
      <w:sz w:val="24"/>
      <w:szCs w:val="24"/>
    </w:rPr>
  </w:style>
  <w:style w:type="paragraph" w:styleId="962"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963" w:customStyle="1">
    <w:name w:val="Table Text"/>
    <w:basedOn w:val="652"/>
    <w:uiPriority w:val="0"/>
    <w:semiHidden/>
    <w:qFormat/>
    <w:pPr>
      <w:jc w:val="left"/>
      <w:widowControl/>
    </w:pPr>
    <w:rPr>
      <w:rFonts w:ascii="宋体" w:hAnsi="宋体" w:cs="宋体"/>
      <w:color w:val="000000"/>
      <w:sz w:val="24"/>
      <w:szCs w:val="24"/>
    </w:rPr>
  </w:style>
  <w:style w:type="table" w:styleId="964" w:customStyle="1">
    <w:name w:val="Table Normal"/>
    <w:basedOn w:val="847"/>
    <w:uiPriority w:val="0"/>
    <w:qFormat/>
    <w:rPr>
      <w:rFonts w:eastAsia="Times New Roman"/>
    </w:rPr>
    <w:tblPr/>
  </w:style>
  <w:style w:type="paragraph" w:styleId="965" w:customStyle="1">
    <w:name w:val="text-tag"/>
    <w:basedOn w:val="652"/>
    <w:uiPriority w:val="99"/>
    <w:semiHidden/>
    <w:qFormat/>
    <w:pPr>
      <w:jc w:val="left"/>
      <w:spacing w:before="100" w:beforeAutospacing="1" w:after="100" w:afterAutospacing="1"/>
      <w:widowControl/>
    </w:pPr>
    <w:rPr>
      <w:rFonts w:ascii="宋体" w:hAnsi="宋体" w:cs="宋体"/>
      <w:sz w:val="24"/>
    </w:rPr>
  </w:style>
  <w:style w:type="paragraph" w:styleId="966" w:customStyle="1">
    <w:name w:val="首行缩进"/>
    <w:basedOn w:val="912"/>
    <w:uiPriority w:val="0"/>
    <w:qFormat/>
    <w:pPr>
      <w:ind w:firstLine="480"/>
      <w:jc w:val="left"/>
      <w:spacing w:line="360" w:lineRule="auto"/>
    </w:pPr>
    <w:rPr>
      <w:rFonts w:ascii="宋体" w:hAnsi="宋体"/>
      <w:sz w:val="24"/>
    </w:rPr>
  </w:style>
  <w:style w:type="character" w:styleId="967" w:customStyle="1">
    <w:name w:val="htd0_0"/>
    <w:uiPriority w:val="0"/>
    <w:qFormat/>
    <w:rPr>
      <w:rFonts w:ascii="Times New Roman" w:hAnsi="Times New Roman"/>
    </w:rPr>
  </w:style>
  <w:style w:type="paragraph" w:styleId="968" w:customStyle="1">
    <w:name w:val="标题 32"/>
    <w:basedOn w:val="652"/>
    <w:next w:val="652"/>
    <w:uiPriority w:val="0"/>
    <w:qFormat/>
    <w:pPr>
      <w:keepLines/>
      <w:keepNext/>
      <w:spacing w:before="260" w:after="260" w:line="416" w:lineRule="auto"/>
      <w:outlineLvl w:val="2"/>
    </w:pPr>
    <w:rPr>
      <w:b/>
      <w:sz w:val="32"/>
      <w:szCs w:val="20"/>
    </w:rPr>
  </w:style>
  <w:style w:type="paragraph" w:styleId="969" w:customStyle="1">
    <w:name w:val="正文1"/>
    <w:basedOn w:val="916"/>
    <w:uiPriority w:val="0"/>
    <w:qFormat/>
    <w:pPr>
      <w:ind w:left="369" w:firstLine="369"/>
      <w:spacing w:line="318" w:lineRule="atLeast"/>
    </w:pPr>
    <w:rPr>
      <w:rFonts w:ascii="宋体"/>
    </w:rPr>
  </w:style>
  <w:style w:type="character" w:styleId="970" w:customStyle="1">
    <w:name w:val="批注框文本 字符"/>
    <w:basedOn w:val="662"/>
    <w:link w:val="674"/>
    <w:uiPriority w:val="99"/>
    <w:semiHidden/>
    <w:qFormat/>
    <w:rPr>
      <w:sz w:val="18"/>
      <w:szCs w:val="18"/>
    </w:rPr>
  </w:style>
  <w:style w:type="paragraph" w:styleId="971" w:customStyle="1">
    <w:name w:val="Default"/>
    <w:uiPriority w:val="0"/>
    <w:qFormat/>
    <w:pPr>
      <w:widowControl w:val="off"/>
    </w:pPr>
    <w:rPr>
      <w:rFonts w:ascii="华文细黑" w:hAnsi="Times New Roman" w:eastAsia="华文细黑" w:cs="华文细黑"/>
      <w:color w:val="000000"/>
      <w:sz w:val="24"/>
      <w:szCs w:val="24"/>
      <w:lang w:val="en-US" w:eastAsia="zh-CN" w:bidi="ar-SA"/>
    </w:rPr>
  </w:style>
  <w:style w:type="character" w:styleId="972" w:customStyle="1">
    <w:name w:val="font01"/>
    <w:basedOn w:val="662"/>
    <w:uiPriority w:val="0"/>
    <w:qFormat/>
    <w:rPr>
      <w:rFonts w:hint="eastAsia" w:ascii="宋体" w:hAnsi="宋体" w:eastAsia="宋体" w:cs="宋体"/>
      <w:color w:val="000000"/>
      <w:sz w:val="24"/>
      <w:szCs w:val="24"/>
      <w:u w:val="none"/>
    </w:rPr>
  </w:style>
  <w:style w:type="numbering" w:styleId="140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王东</cp:lastModifiedBy>
  <cp:revision>47</cp:revision>
  <dcterms:created xsi:type="dcterms:W3CDTF">2025-03-12T02:04:00Z</dcterms:created>
  <dcterms:modified xsi:type="dcterms:W3CDTF">2026-05-18T07:45:06Z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E38A03B404F74B9E8D577FA75F49373B_13</vt:lpwstr>
  </property>
  <property fmtid="{D5CDD505-2E9C-101B-9397-08002B2CF9AE}" pid="4" name="KSOTemplateDocerSaveRecord">
    <vt:lpwstr>eyJoZGlkIjoiOGMxYWJhY2UyNDczYTMwZDJkNGYxZjhlM2JiZjU5MzAiLCJ1c2VySWQiOiIxMjk1NDA4OCJ9</vt:lpwstr>
  </property>
</Properties>
</file>